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E8CFF" w14:textId="6E63DE50" w:rsidR="00EC7A99" w:rsidRDefault="002319C0" w:rsidP="00EC7A99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36"/>
          <w:szCs w:val="36"/>
        </w:rPr>
        <w:t>PNRR MISSIONE SALUTE</w:t>
      </w:r>
      <w:r w:rsidR="00070D04">
        <w:rPr>
          <w:b/>
          <w:bCs/>
          <w:sz w:val="36"/>
          <w:szCs w:val="36"/>
        </w:rPr>
        <w:t xml:space="preserve">: </w:t>
      </w:r>
      <w:r w:rsidR="00F20788">
        <w:rPr>
          <w:b/>
          <w:bCs/>
          <w:sz w:val="36"/>
          <w:szCs w:val="36"/>
        </w:rPr>
        <w:t>A</w:t>
      </w:r>
      <w:r w:rsidR="007C4D63">
        <w:rPr>
          <w:b/>
          <w:bCs/>
          <w:sz w:val="36"/>
          <w:szCs w:val="36"/>
        </w:rPr>
        <w:t xml:space="preserve">L </w:t>
      </w:r>
      <w:r w:rsidR="0020319A">
        <w:rPr>
          <w:b/>
          <w:bCs/>
          <w:sz w:val="36"/>
          <w:szCs w:val="36"/>
        </w:rPr>
        <w:t>3° TRIMESTRE</w:t>
      </w:r>
      <w:r w:rsidR="00F20788">
        <w:rPr>
          <w:b/>
          <w:bCs/>
          <w:sz w:val="36"/>
          <w:szCs w:val="36"/>
        </w:rPr>
        <w:t xml:space="preserve"> 2023</w:t>
      </w:r>
      <w:r w:rsidR="0020319A">
        <w:rPr>
          <w:b/>
          <w:bCs/>
          <w:sz w:val="36"/>
          <w:szCs w:val="36"/>
        </w:rPr>
        <w:br/>
      </w:r>
      <w:r w:rsidR="007C4D63">
        <w:rPr>
          <w:b/>
          <w:bCs/>
          <w:sz w:val="36"/>
          <w:szCs w:val="36"/>
        </w:rPr>
        <w:t xml:space="preserve">RISPETTATE TUTTE LE </w:t>
      </w:r>
      <w:r w:rsidR="0020319A">
        <w:rPr>
          <w:b/>
          <w:bCs/>
          <w:sz w:val="36"/>
          <w:szCs w:val="36"/>
        </w:rPr>
        <w:t>SCADENZE EU</w:t>
      </w:r>
      <w:r w:rsidR="007C4D63">
        <w:rPr>
          <w:b/>
          <w:bCs/>
          <w:sz w:val="36"/>
          <w:szCs w:val="36"/>
        </w:rPr>
        <w:t>ROPEE.</w:t>
      </w:r>
      <w:r w:rsidR="007C4D63">
        <w:rPr>
          <w:b/>
          <w:bCs/>
          <w:sz w:val="36"/>
          <w:szCs w:val="36"/>
        </w:rPr>
        <w:br/>
      </w:r>
      <w:r w:rsidR="00D83E51" w:rsidRPr="00EC7A99">
        <w:rPr>
          <w:b/>
          <w:bCs/>
          <w:spacing w:val="-8"/>
          <w:sz w:val="36"/>
          <w:szCs w:val="36"/>
        </w:rPr>
        <w:t>CRITICITÀ</w:t>
      </w:r>
      <w:r w:rsidR="007C4D63" w:rsidRPr="00EC7A99">
        <w:rPr>
          <w:b/>
          <w:bCs/>
          <w:spacing w:val="-8"/>
          <w:sz w:val="36"/>
          <w:szCs w:val="36"/>
        </w:rPr>
        <w:t xml:space="preserve"> SULL’</w:t>
      </w:r>
      <w:r w:rsidR="0020319A" w:rsidRPr="00EC7A99">
        <w:rPr>
          <w:b/>
          <w:bCs/>
          <w:spacing w:val="-8"/>
          <w:sz w:val="36"/>
          <w:szCs w:val="36"/>
        </w:rPr>
        <w:t>ASSISTENZA DOMICILIARE</w:t>
      </w:r>
      <w:r w:rsidR="007C4D63" w:rsidRPr="00EC7A99">
        <w:rPr>
          <w:b/>
          <w:bCs/>
          <w:spacing w:val="-8"/>
          <w:sz w:val="36"/>
          <w:szCs w:val="36"/>
        </w:rPr>
        <w:t xml:space="preserve">, </w:t>
      </w:r>
      <w:r w:rsidR="00070D04" w:rsidRPr="00EC7A99">
        <w:rPr>
          <w:b/>
          <w:bCs/>
          <w:spacing w:val="-8"/>
          <w:sz w:val="36"/>
          <w:szCs w:val="36"/>
        </w:rPr>
        <w:t xml:space="preserve">SOPRATTUTTO </w:t>
      </w:r>
      <w:r w:rsidR="007C4D63" w:rsidRPr="00EC7A99">
        <w:rPr>
          <w:b/>
          <w:bCs/>
          <w:spacing w:val="-8"/>
          <w:sz w:val="36"/>
          <w:szCs w:val="36"/>
        </w:rPr>
        <w:t>AL SUD</w:t>
      </w:r>
      <w:r w:rsidR="00C214E5" w:rsidRPr="00EC7A99">
        <w:rPr>
          <w:b/>
          <w:bCs/>
          <w:spacing w:val="-8"/>
          <w:sz w:val="36"/>
          <w:szCs w:val="36"/>
        </w:rPr>
        <w:t>.</w:t>
      </w:r>
      <w:r w:rsidR="00EC7A99" w:rsidRPr="00EC7A99">
        <w:rPr>
          <w:b/>
          <w:bCs/>
          <w:sz w:val="36"/>
          <w:szCs w:val="36"/>
        </w:rPr>
        <w:t xml:space="preserve"> </w:t>
      </w:r>
      <w:r w:rsidR="00EC7A99">
        <w:rPr>
          <w:b/>
          <w:bCs/>
          <w:sz w:val="36"/>
          <w:szCs w:val="36"/>
        </w:rPr>
        <w:br/>
      </w:r>
      <w:r w:rsidR="00070D04">
        <w:rPr>
          <w:b/>
          <w:bCs/>
          <w:sz w:val="36"/>
          <w:szCs w:val="36"/>
        </w:rPr>
        <w:t xml:space="preserve">GROSSI NODI DA SCIOGLIERE: </w:t>
      </w:r>
      <w:r w:rsidR="00C214E5">
        <w:rPr>
          <w:b/>
          <w:bCs/>
          <w:sz w:val="36"/>
          <w:szCs w:val="36"/>
        </w:rPr>
        <w:t xml:space="preserve">CARENZA INFERMIERI E </w:t>
      </w:r>
      <w:r w:rsidR="00C214E5" w:rsidRPr="00F90904">
        <w:rPr>
          <w:b/>
          <w:bCs/>
          <w:sz w:val="36"/>
          <w:szCs w:val="36"/>
        </w:rPr>
        <w:t xml:space="preserve">RUOLO </w:t>
      </w:r>
      <w:r w:rsidR="00C214E5">
        <w:rPr>
          <w:b/>
          <w:bCs/>
          <w:sz w:val="36"/>
          <w:szCs w:val="36"/>
        </w:rPr>
        <w:t>DEI MEDICI DI FAMIGLIA</w:t>
      </w:r>
      <w:r w:rsidR="00EC7A99">
        <w:rPr>
          <w:b/>
          <w:bCs/>
          <w:sz w:val="36"/>
          <w:szCs w:val="36"/>
        </w:rPr>
        <w:t>.</w:t>
      </w:r>
      <w:r w:rsidR="0020319A">
        <w:rPr>
          <w:b/>
          <w:bCs/>
          <w:sz w:val="36"/>
          <w:szCs w:val="36"/>
        </w:rPr>
        <w:br/>
      </w:r>
      <w:r w:rsidR="00562BE0">
        <w:rPr>
          <w:b/>
          <w:bCs/>
          <w:sz w:val="36"/>
          <w:szCs w:val="36"/>
        </w:rPr>
        <w:t xml:space="preserve">IL </w:t>
      </w:r>
      <w:r w:rsidR="0020319A">
        <w:rPr>
          <w:b/>
          <w:bCs/>
          <w:sz w:val="36"/>
          <w:szCs w:val="36"/>
        </w:rPr>
        <w:t xml:space="preserve">PIANO DI RIMODULAZIONE </w:t>
      </w:r>
      <w:r w:rsidR="00C308AD">
        <w:rPr>
          <w:b/>
          <w:bCs/>
          <w:sz w:val="36"/>
          <w:szCs w:val="36"/>
        </w:rPr>
        <w:t xml:space="preserve">DEL PNRR </w:t>
      </w:r>
      <w:r w:rsidR="00562BE0">
        <w:rPr>
          <w:b/>
          <w:bCs/>
          <w:sz w:val="36"/>
          <w:szCs w:val="36"/>
        </w:rPr>
        <w:t>PUNTA AL RIBASSO</w:t>
      </w:r>
    </w:p>
    <w:p w14:paraId="51691531" w14:textId="1F76B29A" w:rsidR="00815D37" w:rsidRDefault="006600BA" w:rsidP="00815D37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31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 xml:space="preserve"> ottobre 2023 - </w:t>
      </w:r>
      <w:r w:rsidR="00815D37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815D37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1CB5A5AF" w14:textId="30EE4438" w:rsidR="003A35AF" w:rsidRPr="006600BA" w:rsidRDefault="003A35AF" w:rsidP="003A35AF">
      <w:pPr>
        <w:jc w:val="both"/>
      </w:pPr>
      <w:r w:rsidRPr="006600BA">
        <w:t>«</w:t>
      </w:r>
      <w:r w:rsidR="005B24AF">
        <w:t>N</w:t>
      </w:r>
      <w:r w:rsidR="005B24AF" w:rsidRPr="006600BA">
        <w:t xml:space="preserve">ell’ambito </w:t>
      </w:r>
      <w:r w:rsidRPr="006600BA">
        <w:t xml:space="preserve">delle attività del nostro Osservatorio sul Servizio Sanitario Nazionale </w:t>
      </w:r>
      <w:r w:rsidR="005B24AF" w:rsidRPr="006600BA">
        <w:t xml:space="preserve">– dichiara Nino Cartabellotta, Presidente della Fondazione GIMBE – </w:t>
      </w:r>
      <w:r w:rsidRPr="006600BA">
        <w:t xml:space="preserve">abbiamo </w:t>
      </w:r>
      <w:r w:rsidR="0020319A">
        <w:t xml:space="preserve">avviato il </w:t>
      </w:r>
      <w:r w:rsidRPr="006600BA">
        <w:t>monitoraggio indipendente dello status di avanzamento della Missione Salute del PNRR</w:t>
      </w:r>
      <w:r w:rsidR="005B24AF">
        <w:t>, a</w:t>
      </w:r>
      <w:r w:rsidR="005B24AF" w:rsidRPr="006600BA">
        <w:t>l fine di fornire un quadro oggettivo, di informare i cittadini ed evitare strumentalizzazioni politiche</w:t>
      </w:r>
      <w:r w:rsidRPr="006600BA">
        <w:t>».</w:t>
      </w:r>
    </w:p>
    <w:p w14:paraId="0172AC89" w14:textId="270F6B66" w:rsidR="00566963" w:rsidRDefault="00566963" w:rsidP="00BD2C2E">
      <w:pPr>
        <w:jc w:val="both"/>
        <w:rPr>
          <w:rFonts w:cstheme="minorHAnsi"/>
          <w:b/>
          <w:bCs/>
        </w:rPr>
      </w:pPr>
      <w:r w:rsidRPr="00566963">
        <w:rPr>
          <w:rFonts w:cstheme="minorHAnsi"/>
          <w:b/>
          <w:bCs/>
        </w:rPr>
        <w:t>STATO DI AVANZAMENTO</w:t>
      </w:r>
      <w:r w:rsidR="0020319A">
        <w:rPr>
          <w:rFonts w:cstheme="minorHAnsi"/>
          <w:b/>
          <w:bCs/>
        </w:rPr>
        <w:t xml:space="preserve"> AL 30 SETTEMBRE 2023</w:t>
      </w:r>
    </w:p>
    <w:p w14:paraId="1C94602D" w14:textId="496797CF" w:rsidR="00ED6E07" w:rsidRDefault="004261F6" w:rsidP="00CB2567">
      <w:pPr>
        <w:jc w:val="both"/>
        <w:rPr>
          <w:rFonts w:cstheme="minorHAnsi"/>
        </w:rPr>
      </w:pPr>
      <w:r w:rsidRPr="004261F6">
        <w:rPr>
          <w:rFonts w:cstheme="minorHAnsi"/>
          <w:b/>
          <w:bCs/>
        </w:rPr>
        <w:t>Monitoraggio del Ministero della Salute</w:t>
      </w:r>
      <w:r>
        <w:rPr>
          <w:rFonts w:cstheme="minorHAnsi"/>
        </w:rPr>
        <w:t xml:space="preserve">. </w:t>
      </w:r>
      <w:r w:rsidR="00ED6E07" w:rsidRPr="00ED6E07">
        <w:rPr>
          <w:rFonts w:cstheme="minorHAnsi"/>
        </w:rPr>
        <w:t xml:space="preserve">Secondo </w:t>
      </w:r>
      <w:r w:rsidR="005B24AF">
        <w:rPr>
          <w:rFonts w:cstheme="minorHAnsi"/>
        </w:rPr>
        <w:t>i dati</w:t>
      </w:r>
      <w:r w:rsidR="00ED6E07">
        <w:rPr>
          <w:rFonts w:cstheme="minorHAnsi"/>
        </w:rPr>
        <w:t xml:space="preserve"> </w:t>
      </w:r>
      <w:r w:rsidR="005B24AF">
        <w:rPr>
          <w:rFonts w:cstheme="minorHAnsi"/>
        </w:rPr>
        <w:t xml:space="preserve">resi pubblici </w:t>
      </w:r>
      <w:r w:rsidR="00ED6E07">
        <w:rPr>
          <w:rFonts w:cstheme="minorHAnsi"/>
        </w:rPr>
        <w:t>il 20 ottobre</w:t>
      </w:r>
      <w:r w:rsidR="00CB2567">
        <w:rPr>
          <w:rFonts w:cstheme="minorHAnsi"/>
        </w:rPr>
        <w:t xml:space="preserve"> 2023</w:t>
      </w:r>
      <w:r w:rsidR="005B24AF">
        <w:rPr>
          <w:rFonts w:cstheme="minorHAnsi"/>
        </w:rPr>
        <w:t xml:space="preserve"> sul </w:t>
      </w:r>
      <w:r w:rsidR="00ED6E07">
        <w:rPr>
          <w:rFonts w:cstheme="minorHAnsi"/>
        </w:rPr>
        <w:t xml:space="preserve">portale del </w:t>
      </w:r>
      <w:r w:rsidR="00ED6E07" w:rsidRPr="00ED6E07">
        <w:rPr>
          <w:rFonts w:cstheme="minorHAnsi"/>
        </w:rPr>
        <w:t>Ministero della Salute che monitora lo stato di attuazione della Missione Salute del PNRR:</w:t>
      </w:r>
    </w:p>
    <w:p w14:paraId="4BE689E3" w14:textId="77777777" w:rsidR="00335E0B" w:rsidRDefault="00ED6E07" w:rsidP="00335E0B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20319A">
        <w:rPr>
          <w:rFonts w:cstheme="minorHAnsi"/>
          <w:b/>
          <w:bCs/>
        </w:rPr>
        <w:t xml:space="preserve">Milestone e target </w:t>
      </w:r>
      <w:r w:rsidR="008F7EF5" w:rsidRPr="0020319A">
        <w:rPr>
          <w:rFonts w:cstheme="minorHAnsi"/>
          <w:b/>
          <w:bCs/>
        </w:rPr>
        <w:t>europei</w:t>
      </w:r>
      <w:r w:rsidRPr="00ED6E07">
        <w:rPr>
          <w:rFonts w:cstheme="minorHAnsi"/>
        </w:rPr>
        <w:t xml:space="preserve">: </w:t>
      </w:r>
      <w:r>
        <w:rPr>
          <w:rFonts w:cstheme="minorHAnsi"/>
        </w:rPr>
        <w:t xml:space="preserve">sono stati </w:t>
      </w:r>
      <w:r w:rsidRPr="00ED6E07">
        <w:rPr>
          <w:rFonts w:cstheme="minorHAnsi"/>
        </w:rPr>
        <w:t>tutti raggiunti entro le scadenze fissate</w:t>
      </w:r>
      <w:r>
        <w:rPr>
          <w:rFonts w:cstheme="minorHAnsi"/>
        </w:rPr>
        <w:t xml:space="preserve"> per gli anni 2021-2023. </w:t>
      </w:r>
      <w:r w:rsidRPr="00ED6E07">
        <w:rPr>
          <w:rFonts w:cstheme="minorHAnsi"/>
        </w:rPr>
        <w:t>Rimane da raggiungere a dicembre 2023 il target “Almeno un progetto di telemedicina per Regione”.</w:t>
      </w:r>
    </w:p>
    <w:p w14:paraId="6249AE1D" w14:textId="7A2BFC48" w:rsidR="00FD0D5E" w:rsidRDefault="00ED6E07" w:rsidP="00566963">
      <w:pPr>
        <w:pStyle w:val="Paragrafoelenco"/>
        <w:numPr>
          <w:ilvl w:val="0"/>
          <w:numId w:val="38"/>
        </w:numPr>
        <w:spacing w:line="276" w:lineRule="auto"/>
        <w:jc w:val="both"/>
        <w:rPr>
          <w:rFonts w:cstheme="minorHAnsi"/>
        </w:rPr>
      </w:pPr>
      <w:r w:rsidRPr="00335E0B">
        <w:rPr>
          <w:rFonts w:cstheme="minorHAnsi"/>
          <w:b/>
          <w:bCs/>
        </w:rPr>
        <w:t xml:space="preserve">Milestone e target </w:t>
      </w:r>
      <w:r w:rsidR="0020319A" w:rsidRPr="00335E0B">
        <w:rPr>
          <w:rFonts w:cstheme="minorHAnsi"/>
          <w:b/>
          <w:bCs/>
        </w:rPr>
        <w:t>nazionali</w:t>
      </w:r>
      <w:r w:rsidRPr="00335E0B">
        <w:rPr>
          <w:rFonts w:cstheme="minorHAnsi"/>
        </w:rPr>
        <w:t xml:space="preserve">: sono stati raggiunti entro le scadenze fissate tutti quelli previsti nel 2021 e 2022. </w:t>
      </w:r>
      <w:r w:rsidR="00F90904" w:rsidRPr="00335E0B">
        <w:rPr>
          <w:rFonts w:cstheme="minorHAnsi"/>
        </w:rPr>
        <w:t xml:space="preserve">Relativamente al 2023, </w:t>
      </w:r>
      <w:r w:rsidR="00335E0B" w:rsidRPr="00335E0B">
        <w:rPr>
          <w:rFonts w:cstheme="minorHAnsi"/>
        </w:rPr>
        <w:t xml:space="preserve">oltre ai 3 target la cui scadenza è prevista a dicembre, sono stati differiti da giugno a dicembre 2023 </w:t>
      </w:r>
      <w:r w:rsidR="00335E0B">
        <w:rPr>
          <w:rFonts w:cstheme="minorHAnsi"/>
        </w:rPr>
        <w:t>una</w:t>
      </w:r>
      <w:r w:rsidR="00335E0B" w:rsidRPr="00335E0B">
        <w:rPr>
          <w:rFonts w:cstheme="minorHAnsi"/>
        </w:rPr>
        <w:t xml:space="preserve"> milestone (“Completamento della procedura di iscrizione ai corsi di formazione manageriale”) e </w:t>
      </w:r>
      <w:r w:rsidR="00335E0B">
        <w:rPr>
          <w:rFonts w:cstheme="minorHAnsi"/>
        </w:rPr>
        <w:t>tre</w:t>
      </w:r>
      <w:r w:rsidR="00335E0B" w:rsidRPr="00335E0B">
        <w:rPr>
          <w:rFonts w:cstheme="minorHAnsi"/>
        </w:rPr>
        <w:t xml:space="preserve"> target (“Stipula di un contratto per gli strumenti di intelligenza artificiale a supporto dell'assistenza primaria”, “Stipula dei contratti per l'interconnessione aziendale” e “Stipula dei contratti per la realizzazione delle Centrali Operative Territoriali”</w:t>
      </w:r>
      <w:r w:rsidR="00335E0B">
        <w:rPr>
          <w:rFonts w:cstheme="minorHAnsi"/>
        </w:rPr>
        <w:t xml:space="preserve">). </w:t>
      </w:r>
      <w:r w:rsidR="00335E0B" w:rsidRPr="00335E0B">
        <w:rPr>
          <w:rFonts w:cstheme="minorHAnsi"/>
        </w:rPr>
        <w:t>Un ulteriore target (“Nuovi pazienti che ricevono assistenza domiciliare (prima parte”) è stato differito di 12 mesi</w:t>
      </w:r>
      <w:r w:rsidR="00335E0B">
        <w:rPr>
          <w:rFonts w:cstheme="minorHAnsi"/>
        </w:rPr>
        <w:t>, da marzo 2023 a marzo 2024</w:t>
      </w:r>
      <w:r w:rsidR="00335E0B" w:rsidRPr="00335E0B">
        <w:rPr>
          <w:rFonts w:cstheme="minorHAnsi"/>
        </w:rPr>
        <w:t xml:space="preserve"> (</w:t>
      </w:r>
      <w:r w:rsidR="00335E0B" w:rsidRPr="00335E0B">
        <w:rPr>
          <w:rFonts w:cstheme="minorHAnsi"/>
          <w:highlight w:val="yellow"/>
        </w:rPr>
        <w:t>tabella 1).</w:t>
      </w:r>
      <w:r w:rsidR="00335E0B" w:rsidRPr="00335E0B">
        <w:rPr>
          <w:rFonts w:cstheme="minorHAnsi"/>
        </w:rPr>
        <w:t xml:space="preserve"> </w:t>
      </w:r>
      <w:r w:rsidR="0020319A" w:rsidRPr="00335E0B">
        <w:rPr>
          <w:rFonts w:cstheme="minorHAnsi"/>
        </w:rPr>
        <w:t>«</w:t>
      </w:r>
      <w:r w:rsidR="008F7EF5" w:rsidRPr="00335E0B">
        <w:rPr>
          <w:rFonts w:cstheme="minorHAnsi"/>
        </w:rPr>
        <w:t xml:space="preserve">È bene precisare </w:t>
      </w:r>
      <w:r w:rsidR="005B24AF" w:rsidRPr="006600BA">
        <w:t>–</w:t>
      </w:r>
      <w:r w:rsidR="0020319A" w:rsidRPr="00335E0B">
        <w:rPr>
          <w:rFonts w:cstheme="minorHAnsi"/>
        </w:rPr>
        <w:t xml:space="preserve"> sottolinea Cartabellotta </w:t>
      </w:r>
      <w:r w:rsidR="005B24AF" w:rsidRPr="006600BA">
        <w:t>–</w:t>
      </w:r>
      <w:r w:rsidR="0020319A" w:rsidRPr="00335E0B">
        <w:rPr>
          <w:rFonts w:cstheme="minorHAnsi"/>
        </w:rPr>
        <w:t xml:space="preserve"> </w:t>
      </w:r>
      <w:r w:rsidR="008F7EF5" w:rsidRPr="00335E0B">
        <w:rPr>
          <w:rFonts w:cstheme="minorHAnsi"/>
        </w:rPr>
        <w:t>che i traguardi e gli obiettivi nazionali costituiscono step intermedi che non condizionano l’erogazione dei fondi da parte dell’Europa</w:t>
      </w:r>
      <w:r w:rsidR="0020319A" w:rsidRPr="00335E0B">
        <w:rPr>
          <w:rFonts w:cstheme="minorHAnsi"/>
        </w:rPr>
        <w:t>,</w:t>
      </w:r>
      <w:r w:rsidR="008F7EF5" w:rsidRPr="00335E0B">
        <w:rPr>
          <w:rFonts w:cstheme="minorHAnsi"/>
        </w:rPr>
        <w:t xml:space="preserve"> ma </w:t>
      </w:r>
      <w:r w:rsidR="005B24AF" w:rsidRPr="00335E0B">
        <w:rPr>
          <w:rFonts w:cstheme="minorHAnsi"/>
        </w:rPr>
        <w:t xml:space="preserve">devono comunque essere </w:t>
      </w:r>
      <w:r w:rsidR="0020319A" w:rsidRPr="00335E0B">
        <w:rPr>
          <w:rFonts w:cstheme="minorHAnsi"/>
        </w:rPr>
        <w:t>attentamente</w:t>
      </w:r>
      <w:r w:rsidR="008F7EF5" w:rsidRPr="00335E0B">
        <w:rPr>
          <w:rFonts w:cstheme="minorHAnsi"/>
        </w:rPr>
        <w:t xml:space="preserve"> monitorati perché potrebbero compromettere le correlate scadenze europee».</w:t>
      </w:r>
    </w:p>
    <w:p w14:paraId="6640C517" w14:textId="77777777" w:rsidR="00335E0B" w:rsidRPr="00335E0B" w:rsidRDefault="00335E0B" w:rsidP="00335E0B">
      <w:pPr>
        <w:pStyle w:val="Paragrafoelenco"/>
        <w:spacing w:line="276" w:lineRule="auto"/>
        <w:ind w:left="360"/>
        <w:jc w:val="both"/>
        <w:rPr>
          <w:rFonts w:cstheme="minorHAnsi"/>
        </w:rPr>
      </w:pPr>
    </w:p>
    <w:p w14:paraId="50E0C717" w14:textId="47066B78" w:rsidR="005F1EC4" w:rsidRDefault="00ED6E07" w:rsidP="00566963">
      <w:pPr>
        <w:jc w:val="both"/>
        <w:rPr>
          <w:rFonts w:cstheme="minorHAnsi"/>
        </w:rPr>
      </w:pPr>
      <w:r w:rsidRPr="00D26331">
        <w:rPr>
          <w:rFonts w:cstheme="minorHAnsi"/>
        </w:rPr>
        <w:t>«</w:t>
      </w:r>
      <w:r w:rsidR="0020319A">
        <w:rPr>
          <w:rFonts w:cstheme="minorHAnsi"/>
        </w:rPr>
        <w:t xml:space="preserve">Al momento i </w:t>
      </w:r>
      <w:r w:rsidR="004F3422">
        <w:rPr>
          <w:rFonts w:cstheme="minorHAnsi"/>
        </w:rPr>
        <w:t>ritardi</w:t>
      </w:r>
      <w:r w:rsidR="0020319A">
        <w:rPr>
          <w:rFonts w:cstheme="minorHAnsi"/>
        </w:rPr>
        <w:t xml:space="preserve"> sulle scadenze italiane</w:t>
      </w:r>
      <w:r w:rsidR="0020319A" w:rsidRPr="00ED6E07">
        <w:rPr>
          <w:rFonts w:cstheme="minorHAnsi"/>
        </w:rPr>
        <w:t xml:space="preserve"> </w:t>
      </w:r>
      <w:r w:rsidRPr="00ED6E07">
        <w:rPr>
          <w:rFonts w:cstheme="minorHAnsi"/>
        </w:rPr>
        <w:t xml:space="preserve">non </w:t>
      </w:r>
      <w:r w:rsidR="000B15C0">
        <w:rPr>
          <w:rFonts w:cstheme="minorHAnsi"/>
        </w:rPr>
        <w:t>sono</w:t>
      </w:r>
      <w:r w:rsidR="00611A35">
        <w:rPr>
          <w:rFonts w:cstheme="minorHAnsi"/>
        </w:rPr>
        <w:t xml:space="preserve"> </w:t>
      </w:r>
      <w:r w:rsidR="00CB2567">
        <w:rPr>
          <w:rFonts w:cstheme="minorHAnsi"/>
        </w:rPr>
        <w:t xml:space="preserve">particolarmente </w:t>
      </w:r>
      <w:r w:rsidRPr="00ED6E07">
        <w:rPr>
          <w:rFonts w:cstheme="minorHAnsi"/>
        </w:rPr>
        <w:t>critici</w:t>
      </w:r>
      <w:r w:rsidR="005B24AF">
        <w:rPr>
          <w:rFonts w:cstheme="minorHAnsi"/>
        </w:rPr>
        <w:t xml:space="preserve"> </w:t>
      </w:r>
      <w:r w:rsidR="005B24AF" w:rsidRPr="000017A8">
        <w:rPr>
          <w:rFonts w:cstheme="minorHAnsi"/>
        </w:rPr>
        <w:t>–</w:t>
      </w:r>
      <w:r w:rsidR="005B24AF">
        <w:rPr>
          <w:rFonts w:cstheme="minorHAnsi"/>
        </w:rPr>
        <w:t xml:space="preserve"> commenta </w:t>
      </w:r>
      <w:r w:rsidR="005B24AF" w:rsidRPr="000017A8">
        <w:rPr>
          <w:rFonts w:cstheme="minorHAnsi"/>
        </w:rPr>
        <w:t>Cartabellotta –</w:t>
      </w:r>
      <w:r w:rsidR="005B24AF">
        <w:rPr>
          <w:rFonts w:cstheme="minorHAnsi"/>
        </w:rPr>
        <w:t xml:space="preserve"> </w:t>
      </w:r>
      <w:r w:rsidRPr="00ED6E07">
        <w:rPr>
          <w:rFonts w:cstheme="minorHAnsi"/>
        </w:rPr>
        <w:t>fatta eccezione per il mancato raggiungimento del target “Nuovi pazienti che ricevono assistenza domiciliare (prima parte)”</w:t>
      </w:r>
      <w:r w:rsidR="00611A35">
        <w:rPr>
          <w:rFonts w:cstheme="minorHAnsi"/>
        </w:rPr>
        <w:t xml:space="preserve">. </w:t>
      </w:r>
      <w:r w:rsidRPr="00ED6E07">
        <w:rPr>
          <w:rFonts w:cstheme="minorHAnsi"/>
        </w:rPr>
        <w:t xml:space="preserve">In </w:t>
      </w:r>
      <w:r w:rsidR="0020319A">
        <w:rPr>
          <w:rFonts w:cstheme="minorHAnsi"/>
        </w:rPr>
        <w:t>dettaglio</w:t>
      </w:r>
      <w:r w:rsidRPr="00ED6E07">
        <w:rPr>
          <w:rFonts w:cstheme="minorHAnsi"/>
        </w:rPr>
        <w:t xml:space="preserve">, entro marzo 2023 </w:t>
      </w:r>
      <w:r w:rsidR="005B24AF">
        <w:rPr>
          <w:rFonts w:cstheme="minorHAnsi"/>
        </w:rPr>
        <w:t>avrebbero dovuto</w:t>
      </w:r>
      <w:r w:rsidR="005B24AF" w:rsidRPr="00ED6E07">
        <w:rPr>
          <w:rFonts w:cstheme="minorHAnsi"/>
        </w:rPr>
        <w:t xml:space="preserve"> </w:t>
      </w:r>
      <w:r w:rsidRPr="00ED6E07">
        <w:rPr>
          <w:rFonts w:cstheme="minorHAnsi"/>
        </w:rPr>
        <w:t>essere assistiti in ADI 296 mila pazienti over 65</w:t>
      </w:r>
      <w:r w:rsidR="005B24AF">
        <w:rPr>
          <w:rFonts w:cstheme="minorHAnsi"/>
        </w:rPr>
        <w:t xml:space="preserve">: </w:t>
      </w:r>
      <w:r w:rsidRPr="00ED6E07">
        <w:rPr>
          <w:rFonts w:cstheme="minorHAnsi"/>
        </w:rPr>
        <w:t xml:space="preserve">lo slittamento </w:t>
      </w:r>
      <w:r w:rsidR="005B24AF" w:rsidRPr="00ED6E07">
        <w:rPr>
          <w:rFonts w:cstheme="minorHAnsi"/>
        </w:rPr>
        <w:t xml:space="preserve">di 12 mesi </w:t>
      </w:r>
      <w:r w:rsidRPr="00ED6E07">
        <w:rPr>
          <w:rFonts w:cstheme="minorHAnsi"/>
        </w:rPr>
        <w:t>della scadenza lascia intendere che i tempi per colmare il ritardo non sono immediati</w:t>
      </w:r>
      <w:r w:rsidR="008F7EF5">
        <w:rPr>
          <w:rFonts w:cstheme="minorHAnsi"/>
        </w:rPr>
        <w:t xml:space="preserve">. Questo </w:t>
      </w:r>
      <w:r w:rsidR="008F7EF5" w:rsidRPr="00ED6E07">
        <w:rPr>
          <w:rFonts w:cstheme="minorHAnsi"/>
        </w:rPr>
        <w:t>consegue</w:t>
      </w:r>
      <w:r w:rsidR="008F7EF5">
        <w:rPr>
          <w:rFonts w:cstheme="minorHAnsi"/>
        </w:rPr>
        <w:t xml:space="preserve"> alle </w:t>
      </w:r>
      <w:r w:rsidR="008F7EF5" w:rsidRPr="00ED6E07">
        <w:rPr>
          <w:rFonts w:cstheme="minorHAnsi"/>
        </w:rPr>
        <w:t>enormi differenze sulla capacità delle Regioni nell’eroga</w:t>
      </w:r>
      <w:r w:rsidR="008F7EF5">
        <w:rPr>
          <w:rFonts w:cstheme="minorHAnsi"/>
        </w:rPr>
        <w:t>re</w:t>
      </w:r>
      <w:r w:rsidR="008F7EF5" w:rsidRPr="00ED6E07">
        <w:rPr>
          <w:rFonts w:cstheme="minorHAnsi"/>
        </w:rPr>
        <w:t xml:space="preserve"> l’</w:t>
      </w:r>
      <w:r w:rsidR="008F7EF5">
        <w:rPr>
          <w:rFonts w:cstheme="minorHAnsi"/>
        </w:rPr>
        <w:t>assistenza domiciliare,</w:t>
      </w:r>
      <w:r w:rsidR="005B24AF">
        <w:rPr>
          <w:rFonts w:cstheme="minorHAnsi"/>
        </w:rPr>
        <w:t xml:space="preserve"> ambito in cui</w:t>
      </w:r>
      <w:r w:rsidR="008F7EF5">
        <w:rPr>
          <w:rFonts w:cstheme="minorHAnsi"/>
        </w:rPr>
        <w:t xml:space="preserve"> la maggior parte d</w:t>
      </w:r>
      <w:r w:rsidR="0020319A">
        <w:rPr>
          <w:rFonts w:cstheme="minorHAnsi"/>
        </w:rPr>
        <w:t xml:space="preserve">i quelle </w:t>
      </w:r>
      <w:r w:rsidR="008F7EF5">
        <w:rPr>
          <w:rFonts w:cstheme="minorHAnsi"/>
        </w:rPr>
        <w:t>del centro-sud era già molto indietro</w:t>
      </w:r>
      <w:r w:rsidRPr="00D26331">
        <w:rPr>
          <w:rFonts w:cstheme="minorHAnsi"/>
        </w:rPr>
        <w:t>».</w:t>
      </w:r>
    </w:p>
    <w:p w14:paraId="3AB64FF8" w14:textId="313100BD" w:rsidR="00D83E51" w:rsidRPr="000C6F74" w:rsidRDefault="000C6F74" w:rsidP="00D83E51">
      <w:pPr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Monitoraggio Agenas sull’attuazione del DM 77/2022</w:t>
      </w:r>
      <w:r>
        <w:rPr>
          <w:rFonts w:cstheme="minorHAnsi"/>
        </w:rPr>
        <w:t xml:space="preserve">. La </w:t>
      </w:r>
      <w:hyperlink r:id="rId8" w:history="1">
        <w:r w:rsidR="000073CA" w:rsidRPr="000073CA">
          <w:rPr>
            <w:rStyle w:val="Collegamentoipertestuale"/>
            <w:rFonts w:cstheme="minorHAnsi"/>
          </w:rPr>
          <w:t>2</w:t>
        </w:r>
        <w:r w:rsidR="000073CA" w:rsidRPr="000073CA">
          <w:rPr>
            <w:rStyle w:val="Collegamentoipertestuale"/>
            <w:rFonts w:cstheme="minorHAnsi"/>
            <w:vertAlign w:val="superscript"/>
          </w:rPr>
          <w:t>a</w:t>
        </w:r>
        <w:r w:rsidRPr="000073CA">
          <w:rPr>
            <w:rStyle w:val="Collegamentoipertestuale"/>
            <w:rFonts w:cstheme="minorHAnsi"/>
          </w:rPr>
          <w:t xml:space="preserve"> relazione Agenas sullo stato di implementazione del DM 77</w:t>
        </w:r>
      </w:hyperlink>
      <w:r w:rsidR="00701873">
        <w:rPr>
          <w:rFonts w:cstheme="minorHAnsi"/>
        </w:rPr>
        <w:t xml:space="preserve">, </w:t>
      </w:r>
      <w:r w:rsidR="0020319A">
        <w:rPr>
          <w:rFonts w:cstheme="minorHAnsi"/>
        </w:rPr>
        <w:t xml:space="preserve">riforma </w:t>
      </w:r>
      <w:r w:rsidR="000073CA">
        <w:rPr>
          <w:rFonts w:cstheme="minorHAnsi"/>
        </w:rPr>
        <w:t xml:space="preserve">prevista dal PNRR per </w:t>
      </w:r>
      <w:r w:rsidR="0020319A">
        <w:rPr>
          <w:rFonts w:cstheme="minorHAnsi"/>
        </w:rPr>
        <w:t>riorganizza</w:t>
      </w:r>
      <w:r w:rsidR="000073CA">
        <w:rPr>
          <w:rFonts w:cstheme="minorHAnsi"/>
        </w:rPr>
        <w:t xml:space="preserve">re </w:t>
      </w:r>
      <w:r w:rsidR="0020319A">
        <w:rPr>
          <w:rFonts w:cstheme="minorHAnsi"/>
        </w:rPr>
        <w:t>l’assistenza territoriale</w:t>
      </w:r>
      <w:r w:rsidR="00701873">
        <w:rPr>
          <w:rFonts w:cstheme="minorHAnsi"/>
        </w:rPr>
        <w:t xml:space="preserve">, </w:t>
      </w:r>
      <w:r w:rsidR="0020319A">
        <w:rPr>
          <w:rFonts w:cstheme="minorHAnsi"/>
        </w:rPr>
        <w:t>ha fatto il punto sul</w:t>
      </w:r>
      <w:r w:rsidRPr="000C6F74">
        <w:rPr>
          <w:rFonts w:cstheme="minorHAnsi"/>
        </w:rPr>
        <w:t>l’attivazione</w:t>
      </w:r>
      <w:r w:rsidR="00611A35">
        <w:rPr>
          <w:rFonts w:cstheme="minorHAnsi"/>
        </w:rPr>
        <w:t xml:space="preserve"> </w:t>
      </w:r>
      <w:r w:rsidRPr="000C6F74">
        <w:rPr>
          <w:rFonts w:cstheme="minorHAnsi"/>
        </w:rPr>
        <w:t>delle strutture</w:t>
      </w:r>
      <w:r w:rsidR="002B57EE" w:rsidRPr="002B57EE">
        <w:rPr>
          <w:rFonts w:cstheme="minorHAnsi"/>
        </w:rPr>
        <w:t xml:space="preserve"> </w:t>
      </w:r>
      <w:r w:rsidR="002B57EE">
        <w:rPr>
          <w:rFonts w:cstheme="minorHAnsi"/>
        </w:rPr>
        <w:t>a giugno 2023</w:t>
      </w:r>
      <w:r w:rsidR="00D83E51">
        <w:rPr>
          <w:rFonts w:cstheme="minorHAnsi"/>
        </w:rPr>
        <w:t>:</w:t>
      </w:r>
      <w:r w:rsidRPr="000C6F74">
        <w:rPr>
          <w:rFonts w:cstheme="minorHAnsi"/>
        </w:rPr>
        <w:t xml:space="preserve"> </w:t>
      </w:r>
      <w:r w:rsidR="00D83E51">
        <w:rPr>
          <w:rFonts w:cstheme="minorHAnsi"/>
        </w:rPr>
        <w:t xml:space="preserve">le </w:t>
      </w:r>
      <w:r w:rsidRPr="000C6F74">
        <w:rPr>
          <w:rFonts w:cstheme="minorHAnsi"/>
        </w:rPr>
        <w:t>Case della Comunità</w:t>
      </w:r>
      <w:r w:rsidR="002B57EE">
        <w:rPr>
          <w:rFonts w:cstheme="minorHAnsi"/>
        </w:rPr>
        <w:t xml:space="preserve"> (CdC)</w:t>
      </w:r>
      <w:r w:rsidR="00D83E51">
        <w:rPr>
          <w:rFonts w:cstheme="minorHAnsi"/>
        </w:rPr>
        <w:t xml:space="preserve">, il punto di accesso sul territorio con cui </w:t>
      </w:r>
      <w:r w:rsidR="00D83E51" w:rsidRPr="00D83E51">
        <w:rPr>
          <w:rFonts w:cstheme="minorHAnsi"/>
        </w:rPr>
        <w:t>il cittadino entra in contatto con il sistema socio-sanitario</w:t>
      </w:r>
      <w:r w:rsidR="00D83E51">
        <w:rPr>
          <w:rFonts w:cstheme="minorHAnsi"/>
        </w:rPr>
        <w:t xml:space="preserve">; le </w:t>
      </w:r>
      <w:r w:rsidRPr="000C6F74">
        <w:rPr>
          <w:rFonts w:cstheme="minorHAnsi"/>
        </w:rPr>
        <w:t>Centrali Operative Territoriali</w:t>
      </w:r>
      <w:r w:rsidR="002B57EE">
        <w:rPr>
          <w:rFonts w:cstheme="minorHAnsi"/>
        </w:rPr>
        <w:t xml:space="preserve"> (COT)</w:t>
      </w:r>
      <w:r w:rsidR="00D83E51">
        <w:rPr>
          <w:rFonts w:cstheme="minorHAnsi"/>
        </w:rPr>
        <w:t xml:space="preserve"> che </w:t>
      </w:r>
      <w:r w:rsidR="00D83E51" w:rsidRPr="00D83E51">
        <w:rPr>
          <w:rFonts w:cstheme="minorHAnsi"/>
        </w:rPr>
        <w:lastRenderedPageBreak/>
        <w:t>coordinano i vari servizi sul territorio</w:t>
      </w:r>
      <w:r w:rsidR="00D83E51">
        <w:rPr>
          <w:rFonts w:cstheme="minorHAnsi"/>
        </w:rPr>
        <w:t xml:space="preserve">; gli </w:t>
      </w:r>
      <w:r w:rsidRPr="000C6F74">
        <w:rPr>
          <w:rFonts w:cstheme="minorHAnsi"/>
        </w:rPr>
        <w:t>Ospedali di Comun</w:t>
      </w:r>
      <w:r w:rsidR="00D83E51">
        <w:rPr>
          <w:rFonts w:cstheme="minorHAnsi"/>
        </w:rPr>
        <w:t xml:space="preserve">ità </w:t>
      </w:r>
      <w:r w:rsidR="002B57EE">
        <w:rPr>
          <w:rFonts w:cstheme="minorHAnsi"/>
        </w:rPr>
        <w:t xml:space="preserve">(OdC) </w:t>
      </w:r>
      <w:r w:rsidR="00D83E51">
        <w:rPr>
          <w:rFonts w:cstheme="minorHAnsi"/>
        </w:rPr>
        <w:t xml:space="preserve">che hanno </w:t>
      </w:r>
      <w:r w:rsidR="00D83E51" w:rsidRPr="00D83E51">
        <w:rPr>
          <w:rFonts w:cstheme="minorHAnsi"/>
        </w:rPr>
        <w:t>funzione intermedia tra il domicilio e il ricovero ospedaliero</w:t>
      </w:r>
      <w:r w:rsidR="00D83E51">
        <w:rPr>
          <w:rFonts w:cstheme="minorHAnsi"/>
        </w:rPr>
        <w:t>. In dettaglio:</w:t>
      </w:r>
    </w:p>
    <w:p w14:paraId="54ADB7E1" w14:textId="0221030B" w:rsidR="000C6F74" w:rsidRDefault="000C6F74" w:rsidP="000C6F7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Case della Comunità</w:t>
      </w:r>
      <w:r w:rsidRPr="000C6F74">
        <w:rPr>
          <w:rFonts w:cstheme="minorHAnsi"/>
        </w:rPr>
        <w:t>. Rispetto alle 1.430 CdC da attivare entro il 2026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state dichiarate funzionalmente attive 187, di cui: 92 in Lombardia, 43 in Emilia-Romagna, 38 in Piemonte, 6 in Toscana e Molise e 2 in Umbria.</w:t>
      </w:r>
    </w:p>
    <w:p w14:paraId="0D3D82CB" w14:textId="46372B22" w:rsidR="000C6F74" w:rsidRDefault="000C6F74" w:rsidP="000C6F74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Centrali Operative Territoriali</w:t>
      </w:r>
      <w:r w:rsidRPr="000C6F74">
        <w:rPr>
          <w:rFonts w:cstheme="minorHAnsi"/>
        </w:rPr>
        <w:t>. Delle 611 COT da attivare entro il 2024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state dichiarate attive 77, di cui: 36 in Lombardia, 15 nel Lazio, 9 in Veneto, 7 in Piemonte, 5 in Emilia-Romagna, 4 nella Provincia autonoma di Bolzano e 1 in Umbria.</w:t>
      </w:r>
    </w:p>
    <w:p w14:paraId="664301BC" w14:textId="0A435F38" w:rsidR="00A10DFC" w:rsidRDefault="000C6F74" w:rsidP="00A10DF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cstheme="minorHAnsi"/>
        </w:rPr>
      </w:pPr>
      <w:r w:rsidRPr="000C6F74">
        <w:rPr>
          <w:rFonts w:cstheme="minorHAnsi"/>
          <w:b/>
          <w:bCs/>
        </w:rPr>
        <w:t>Ospedali di Comunità</w:t>
      </w:r>
      <w:r w:rsidRPr="000C6F74">
        <w:rPr>
          <w:rFonts w:cstheme="minorHAnsi"/>
        </w:rPr>
        <w:t>. Dei 434 OdC da attivare entro il 2026 quale target PNRR</w:t>
      </w:r>
      <w:r w:rsidR="00FD0D5E">
        <w:rPr>
          <w:rFonts w:cstheme="minorHAnsi"/>
        </w:rPr>
        <w:t xml:space="preserve">, </w:t>
      </w:r>
      <w:r w:rsidRPr="000C6F74">
        <w:rPr>
          <w:rFonts w:cstheme="minorHAnsi"/>
        </w:rPr>
        <w:t>ne sono stati dichiarati attivi 76, di cui: 38 in Veneto, 17 in Lombardia, 6 in Puglia, 5 in Emilia-Romagna, 3 in Umbria, 2 in Abruzzo e in Molise, 1 in Campania, Lazio, Liguria. Complessivamente il numero dei posti letto attivati è pari a 1.378.</w:t>
      </w:r>
    </w:p>
    <w:p w14:paraId="1C26C4AE" w14:textId="77777777" w:rsidR="00A10DFC" w:rsidRPr="00A10DFC" w:rsidRDefault="00A10DFC" w:rsidP="00A10DFC">
      <w:pPr>
        <w:pStyle w:val="Paragrafoelenco"/>
        <w:spacing w:line="276" w:lineRule="auto"/>
        <w:ind w:left="360"/>
        <w:jc w:val="both"/>
        <w:rPr>
          <w:rFonts w:cstheme="minorHAnsi"/>
        </w:rPr>
      </w:pPr>
    </w:p>
    <w:p w14:paraId="2F31B163" w14:textId="599D9801" w:rsidR="00566963" w:rsidRDefault="00566963" w:rsidP="00566963">
      <w:pPr>
        <w:jc w:val="both"/>
        <w:rPr>
          <w:rFonts w:cstheme="minorHAnsi"/>
        </w:rPr>
      </w:pPr>
      <w:r w:rsidRPr="00566963">
        <w:rPr>
          <w:rFonts w:cstheme="minorHAnsi"/>
        </w:rPr>
        <w:t>«Complessivamente –</w:t>
      </w:r>
      <w:r w:rsidR="006A3B3E">
        <w:rPr>
          <w:rFonts w:cstheme="minorHAnsi"/>
        </w:rPr>
        <w:t xml:space="preserve"> </w:t>
      </w:r>
      <w:r w:rsidRPr="00566963">
        <w:rPr>
          <w:rFonts w:cstheme="minorHAnsi"/>
        </w:rPr>
        <w:t xml:space="preserve">commenta il Presidente – il monitoraggio </w:t>
      </w:r>
      <w:r w:rsidR="006A3B3E">
        <w:rPr>
          <w:rFonts w:cstheme="minorHAnsi"/>
        </w:rPr>
        <w:t xml:space="preserve">Agenas </w:t>
      </w:r>
      <w:r w:rsidRPr="00566963">
        <w:rPr>
          <w:rFonts w:cstheme="minorHAnsi"/>
        </w:rPr>
        <w:t xml:space="preserve">conferma il netto ritardo </w:t>
      </w:r>
      <w:r w:rsidR="002B57EE" w:rsidRPr="00566963">
        <w:rPr>
          <w:rFonts w:cstheme="minorHAnsi"/>
        </w:rPr>
        <w:t>d</w:t>
      </w:r>
      <w:r w:rsidR="002B57EE">
        <w:rPr>
          <w:rFonts w:cstheme="minorHAnsi"/>
        </w:rPr>
        <w:t xml:space="preserve">i tutte le </w:t>
      </w:r>
      <w:r w:rsidR="002B57EE" w:rsidRPr="00566963">
        <w:rPr>
          <w:rFonts w:cstheme="minorHAnsi"/>
        </w:rPr>
        <w:t>Regioni del Sud</w:t>
      </w:r>
      <w:r w:rsidR="002B57EE">
        <w:rPr>
          <w:rFonts w:cstheme="minorHAnsi"/>
        </w:rPr>
        <w:t xml:space="preserve"> </w:t>
      </w:r>
      <w:r w:rsidR="006A3B3E">
        <w:rPr>
          <w:rFonts w:cstheme="minorHAnsi"/>
        </w:rPr>
        <w:t xml:space="preserve">nell’attivazione delle strutture previste dal DM 77. Un ritardo </w:t>
      </w:r>
      <w:r w:rsidR="002B57EE">
        <w:rPr>
          <w:rFonts w:cstheme="minorHAnsi"/>
        </w:rPr>
        <w:t xml:space="preserve">imputabile non </w:t>
      </w:r>
      <w:r w:rsidR="006A3B3E">
        <w:rPr>
          <w:rFonts w:cstheme="minorHAnsi"/>
        </w:rPr>
        <w:t>a inefficienze locali, ma semplicemente al</w:t>
      </w:r>
      <w:r w:rsidR="00F9236A">
        <w:rPr>
          <w:rFonts w:cstheme="minorHAnsi"/>
        </w:rPr>
        <w:t xml:space="preserve"> “punto di partenza” </w:t>
      </w:r>
      <w:r w:rsidR="0020319A">
        <w:rPr>
          <w:rFonts w:cstheme="minorHAnsi"/>
        </w:rPr>
        <w:t xml:space="preserve">dell’assistenza territoriale </w:t>
      </w:r>
      <w:r w:rsidR="000B15C0">
        <w:rPr>
          <w:rFonts w:cstheme="minorHAnsi"/>
        </w:rPr>
        <w:t>nelle regioni meridionali</w:t>
      </w:r>
      <w:r w:rsidRPr="00566963">
        <w:rPr>
          <w:rFonts w:cstheme="minorHAnsi"/>
        </w:rPr>
        <w:t>»</w:t>
      </w:r>
      <w:r w:rsidR="000C6F74">
        <w:rPr>
          <w:rFonts w:cstheme="minorHAnsi"/>
        </w:rPr>
        <w:t xml:space="preserve"> (</w:t>
      </w:r>
      <w:r w:rsidR="000C6F74" w:rsidRPr="005A32A6">
        <w:rPr>
          <w:rFonts w:cstheme="minorHAnsi"/>
          <w:highlight w:val="yellow"/>
        </w:rPr>
        <w:t xml:space="preserve">tabella </w:t>
      </w:r>
      <w:r w:rsidR="005A32A6" w:rsidRPr="005A32A6">
        <w:rPr>
          <w:rFonts w:cstheme="minorHAnsi"/>
          <w:highlight w:val="yellow"/>
        </w:rPr>
        <w:t>2</w:t>
      </w:r>
      <w:r w:rsidR="000C6F74">
        <w:rPr>
          <w:rFonts w:cstheme="minorHAnsi"/>
        </w:rPr>
        <w:t>)</w:t>
      </w:r>
      <w:r w:rsidR="002B57EE">
        <w:rPr>
          <w:rFonts w:cstheme="minorHAnsi"/>
        </w:rPr>
        <w:t>.</w:t>
      </w:r>
    </w:p>
    <w:p w14:paraId="1539E893" w14:textId="6712FE62" w:rsidR="00FD0D5E" w:rsidRDefault="00295866" w:rsidP="00AB07C4">
      <w:pPr>
        <w:jc w:val="both"/>
        <w:rPr>
          <w:rFonts w:cstheme="minorHAnsi"/>
        </w:rPr>
      </w:pPr>
      <w:r>
        <w:rPr>
          <w:rFonts w:cstheme="minorHAnsi"/>
          <w:b/>
          <w:bCs/>
        </w:rPr>
        <w:t>PROPOSTE DI RIMODULAZIONE</w:t>
      </w:r>
      <w:r w:rsidR="00AB07C4">
        <w:rPr>
          <w:rFonts w:cstheme="minorHAnsi"/>
          <w:b/>
          <w:bCs/>
        </w:rPr>
        <w:t xml:space="preserve">. </w:t>
      </w:r>
      <w:r w:rsidRPr="00295866">
        <w:rPr>
          <w:rFonts w:cstheme="minorHAnsi"/>
        </w:rPr>
        <w:t xml:space="preserve">Il 27 luglio 2023 l’Italia ha inviato alla Commissione Europea una </w:t>
      </w:r>
      <w:hyperlink r:id="rId9" w:history="1">
        <w:r w:rsidRPr="00AB07C4">
          <w:rPr>
            <w:rStyle w:val="Collegamentoipertestuale"/>
            <w:rFonts w:cstheme="minorHAnsi"/>
          </w:rPr>
          <w:t>proposta di rimodulazione del PNRR</w:t>
        </w:r>
      </w:hyperlink>
      <w:r w:rsidR="006A3B3E">
        <w:rPr>
          <w:rFonts w:cstheme="minorHAnsi"/>
        </w:rPr>
        <w:t xml:space="preserve"> che, r</w:t>
      </w:r>
      <w:r w:rsidRPr="00295866">
        <w:rPr>
          <w:rFonts w:cstheme="minorHAnsi"/>
        </w:rPr>
        <w:t xml:space="preserve">elativamente alla Missione Salute, </w:t>
      </w:r>
      <w:r w:rsidR="006A3B3E">
        <w:rPr>
          <w:rFonts w:cstheme="minorHAnsi"/>
        </w:rPr>
        <w:t xml:space="preserve">non </w:t>
      </w:r>
      <w:r w:rsidR="00D83E51">
        <w:rPr>
          <w:rFonts w:cstheme="minorHAnsi"/>
        </w:rPr>
        <w:t xml:space="preserve">risulta </w:t>
      </w:r>
      <w:r w:rsidR="006A3B3E">
        <w:rPr>
          <w:rFonts w:cstheme="minorHAnsi"/>
        </w:rPr>
        <w:t xml:space="preserve">ancora ratificata dal </w:t>
      </w:r>
      <w:r w:rsidR="006A3B3E" w:rsidRPr="00295866">
        <w:rPr>
          <w:rFonts w:cstheme="minorHAnsi"/>
        </w:rPr>
        <w:t>Consiglio Europeo</w:t>
      </w:r>
      <w:r w:rsidR="006A3B3E">
        <w:rPr>
          <w:rFonts w:cstheme="minorHAnsi"/>
        </w:rPr>
        <w:t>.</w:t>
      </w:r>
      <w:r w:rsidR="00A24493">
        <w:rPr>
          <w:rFonts w:cstheme="minorHAnsi"/>
        </w:rPr>
        <w:t xml:space="preserve"> </w:t>
      </w:r>
      <w:r w:rsidR="00A24493" w:rsidRPr="00566963">
        <w:rPr>
          <w:rFonts w:cstheme="minorHAnsi"/>
        </w:rPr>
        <w:t>«</w:t>
      </w:r>
      <w:r w:rsidR="00A24493">
        <w:rPr>
          <w:rFonts w:cstheme="minorHAnsi"/>
        </w:rPr>
        <w:t>L</w:t>
      </w:r>
      <w:r w:rsidR="00A24493" w:rsidRPr="00295866">
        <w:rPr>
          <w:rFonts w:cstheme="minorHAnsi"/>
        </w:rPr>
        <w:t xml:space="preserve">a maggior parte delle modifiche </w:t>
      </w:r>
      <w:r w:rsidR="00A24493" w:rsidRPr="00566963">
        <w:rPr>
          <w:rFonts w:cstheme="minorHAnsi"/>
        </w:rPr>
        <w:t>–</w:t>
      </w:r>
      <w:r w:rsidR="00A24493">
        <w:rPr>
          <w:rFonts w:cstheme="minorHAnsi"/>
        </w:rPr>
        <w:t xml:space="preserve"> spiega Cartabellotta </w:t>
      </w:r>
      <w:r w:rsidR="00A24493" w:rsidRPr="00566963">
        <w:rPr>
          <w:rFonts w:cstheme="minorHAnsi"/>
        </w:rPr>
        <w:t xml:space="preserve">– </w:t>
      </w:r>
      <w:r w:rsidR="000073CA">
        <w:rPr>
          <w:rFonts w:cstheme="minorHAnsi"/>
        </w:rPr>
        <w:t xml:space="preserve">è stata motivata </w:t>
      </w:r>
      <w:r w:rsidR="00A24493" w:rsidRPr="00295866">
        <w:rPr>
          <w:rFonts w:cstheme="minorHAnsi"/>
        </w:rPr>
        <w:t>dall’aumento dei costi dell’investimento e/o dei tempi di attuazione</w:t>
      </w:r>
      <w:r w:rsidR="00A24493">
        <w:rPr>
          <w:rFonts w:cstheme="minorHAnsi"/>
        </w:rPr>
        <w:t xml:space="preserve">, oltre che </w:t>
      </w:r>
      <w:r w:rsidR="00A24493" w:rsidRPr="00295866">
        <w:rPr>
          <w:rFonts w:cstheme="minorHAnsi"/>
        </w:rPr>
        <w:t xml:space="preserve">da ritardi nelle forniture e </w:t>
      </w:r>
      <w:r w:rsidR="002B57EE">
        <w:rPr>
          <w:rFonts w:cstheme="minorHAnsi"/>
        </w:rPr>
        <w:t>d</w:t>
      </w:r>
      <w:r w:rsidR="00A24493" w:rsidRPr="00295866">
        <w:rPr>
          <w:rFonts w:cstheme="minorHAnsi"/>
        </w:rPr>
        <w:t>a difficoltà legate all’approvvigionamento delle materie prime</w:t>
      </w:r>
      <w:r w:rsidR="00A24493" w:rsidRPr="00566963">
        <w:rPr>
          <w:rFonts w:cstheme="minorHAnsi"/>
        </w:rPr>
        <w:t>»</w:t>
      </w:r>
      <w:r w:rsidR="00A24493" w:rsidRPr="00295866">
        <w:rPr>
          <w:rFonts w:cstheme="minorHAnsi"/>
        </w:rPr>
        <w:t xml:space="preserve">. </w:t>
      </w:r>
      <w:r w:rsidR="00AB07C4" w:rsidRPr="00AB07C4">
        <w:rPr>
          <w:rFonts w:cstheme="minorHAnsi"/>
        </w:rPr>
        <w:t>Complessivamente</w:t>
      </w:r>
      <w:r w:rsidR="00C308AD">
        <w:rPr>
          <w:rFonts w:cstheme="minorHAnsi"/>
        </w:rPr>
        <w:t xml:space="preserve">, punta al ribasso </w:t>
      </w:r>
      <w:r w:rsidR="000073CA">
        <w:rPr>
          <w:rFonts w:cstheme="minorHAnsi"/>
        </w:rPr>
        <w:t>chied</w:t>
      </w:r>
      <w:r w:rsidR="00C308AD">
        <w:rPr>
          <w:rFonts w:cstheme="minorHAnsi"/>
        </w:rPr>
        <w:t>endo</w:t>
      </w:r>
      <w:r w:rsidR="00AB07C4" w:rsidRPr="00AB07C4">
        <w:rPr>
          <w:rFonts w:cstheme="minorHAnsi"/>
        </w:rPr>
        <w:t xml:space="preserve"> di espungere 414 Case di Comunità, 76 Centrali Operative Territoriali, 96 ospedali di Comunità e 22 interventi di anti-sismica</w:t>
      </w:r>
      <w:r w:rsidR="00AB07C4">
        <w:rPr>
          <w:rFonts w:cstheme="minorHAnsi"/>
        </w:rPr>
        <w:t xml:space="preserve"> (</w:t>
      </w:r>
      <w:r w:rsidR="00AB07C4" w:rsidRPr="00AB07C4">
        <w:rPr>
          <w:rFonts w:cstheme="minorHAnsi"/>
          <w:highlight w:val="yellow"/>
        </w:rPr>
        <w:t>ta</w:t>
      </w:r>
      <w:r w:rsidR="00AB07C4" w:rsidRPr="005A32A6">
        <w:rPr>
          <w:rFonts w:cstheme="minorHAnsi"/>
          <w:highlight w:val="yellow"/>
        </w:rPr>
        <w:t xml:space="preserve">bella </w:t>
      </w:r>
      <w:r w:rsidR="005A32A6" w:rsidRPr="005A32A6">
        <w:rPr>
          <w:rFonts w:cstheme="minorHAnsi"/>
          <w:highlight w:val="yellow"/>
        </w:rPr>
        <w:t>3</w:t>
      </w:r>
      <w:r w:rsidR="00AB07C4">
        <w:rPr>
          <w:rFonts w:cstheme="minorHAnsi"/>
        </w:rPr>
        <w:t>)</w:t>
      </w:r>
      <w:r w:rsidR="00AB07C4" w:rsidRPr="00AB07C4">
        <w:rPr>
          <w:rFonts w:cstheme="minorHAnsi"/>
        </w:rPr>
        <w:t xml:space="preserve">. </w:t>
      </w:r>
      <w:r w:rsidR="00FD0D5E">
        <w:rPr>
          <w:rFonts w:cstheme="minorHAnsi"/>
        </w:rPr>
        <w:t xml:space="preserve">Infine, la proposta di rimodulazione richiede il </w:t>
      </w:r>
      <w:r w:rsidR="00FD0D5E" w:rsidRPr="00BA783E">
        <w:rPr>
          <w:rFonts w:cstheme="minorHAnsi"/>
        </w:rPr>
        <w:t xml:space="preserve">differimento </w:t>
      </w:r>
      <w:r w:rsidR="00FD0D5E">
        <w:rPr>
          <w:rFonts w:cstheme="minorHAnsi"/>
        </w:rPr>
        <w:t xml:space="preserve">delle scadenze per </w:t>
      </w:r>
      <w:r w:rsidR="00FD0D5E" w:rsidRPr="00BA783E">
        <w:rPr>
          <w:rFonts w:cstheme="minorHAnsi"/>
        </w:rPr>
        <w:t>tre target/milestone</w:t>
      </w:r>
      <w:r w:rsidR="00FD0D5E">
        <w:rPr>
          <w:rFonts w:cstheme="minorHAnsi"/>
        </w:rPr>
        <w:t>: c</w:t>
      </w:r>
      <w:r w:rsidR="00FD0D5E" w:rsidRPr="00BA783E">
        <w:rPr>
          <w:rFonts w:cstheme="minorHAnsi"/>
        </w:rPr>
        <w:t>entrali operative territoriali</w:t>
      </w:r>
      <w:r w:rsidR="00FD0D5E">
        <w:rPr>
          <w:rFonts w:cstheme="minorHAnsi"/>
        </w:rPr>
        <w:t xml:space="preserve"> (+6 mesi), p</w:t>
      </w:r>
      <w:r w:rsidR="00FD0D5E" w:rsidRPr="00BA783E">
        <w:rPr>
          <w:rFonts w:cstheme="minorHAnsi"/>
        </w:rPr>
        <w:t>ersone assistite attraverso la telemedicina</w:t>
      </w:r>
      <w:r w:rsidR="00FD0D5E">
        <w:rPr>
          <w:rFonts w:cstheme="minorHAnsi"/>
        </w:rPr>
        <w:t xml:space="preserve"> (+12 mesi), a</w:t>
      </w:r>
      <w:r w:rsidR="00FD0D5E" w:rsidRPr="00BA783E">
        <w:rPr>
          <w:rFonts w:cstheme="minorHAnsi"/>
        </w:rPr>
        <w:t>mmodernamento parco tecnologico e digitale ospedaliero</w:t>
      </w:r>
      <w:r w:rsidR="00FD0D5E">
        <w:rPr>
          <w:rFonts w:cstheme="minorHAnsi"/>
        </w:rPr>
        <w:t xml:space="preserve"> (</w:t>
      </w:r>
      <w:r w:rsidR="00FD0D5E" w:rsidRPr="00BA783E">
        <w:rPr>
          <w:rFonts w:cstheme="minorHAnsi"/>
        </w:rPr>
        <w:t>+12</w:t>
      </w:r>
      <w:r w:rsidR="00FD0D5E">
        <w:rPr>
          <w:rFonts w:cstheme="minorHAnsi"/>
        </w:rPr>
        <w:t xml:space="preserve"> mesi).</w:t>
      </w:r>
    </w:p>
    <w:p w14:paraId="0C708B72" w14:textId="5E95EB4B" w:rsidR="00A77136" w:rsidRDefault="00AB07C4" w:rsidP="00BD2C2E">
      <w:pPr>
        <w:jc w:val="both"/>
        <w:rPr>
          <w:rFonts w:cstheme="minorHAnsi"/>
        </w:rPr>
      </w:pPr>
      <w:r w:rsidRPr="00AB07C4">
        <w:rPr>
          <w:rFonts w:cstheme="minorHAnsi"/>
        </w:rPr>
        <w:t>La rimodulazione riguarderebbe prevalentemente i nuovi edifici da realizzare, che in realtà risultano di numero inferiore secondo</w:t>
      </w:r>
      <w:r w:rsidR="000A47FF">
        <w:rPr>
          <w:rFonts w:cstheme="minorHAnsi"/>
        </w:rPr>
        <w:t xml:space="preserve"> quanto rilevato da Agenas (</w:t>
      </w:r>
      <w:r w:rsidR="000A47FF" w:rsidRPr="000A47FF">
        <w:rPr>
          <w:rFonts w:cstheme="minorHAnsi"/>
          <w:highlight w:val="yellow"/>
        </w:rPr>
        <w:t xml:space="preserve">tabella </w:t>
      </w:r>
      <w:r w:rsidR="00B81482" w:rsidRPr="00452FE4">
        <w:rPr>
          <w:rFonts w:cstheme="minorHAnsi"/>
          <w:highlight w:val="yellow"/>
        </w:rPr>
        <w:t>4</w:t>
      </w:r>
      <w:r w:rsidR="00452FE4" w:rsidRPr="00452FE4">
        <w:rPr>
          <w:rFonts w:cstheme="minorHAnsi"/>
          <w:highlight w:val="yellow"/>
        </w:rPr>
        <w:t xml:space="preserve"> e figure 1, 2, 3</w:t>
      </w:r>
      <w:r w:rsidR="000A47FF">
        <w:rPr>
          <w:rFonts w:cstheme="minorHAnsi"/>
        </w:rPr>
        <w:t>)</w:t>
      </w:r>
      <w:r w:rsidRPr="00AB07C4">
        <w:rPr>
          <w:rFonts w:cstheme="minorHAnsi"/>
        </w:rPr>
        <w:t xml:space="preserve">. </w:t>
      </w:r>
      <w:r w:rsidR="000073CA" w:rsidRPr="00566963">
        <w:rPr>
          <w:rFonts w:cstheme="minorHAnsi"/>
        </w:rPr>
        <w:t>«</w:t>
      </w:r>
      <w:r w:rsidR="002B57EE">
        <w:rPr>
          <w:rFonts w:cstheme="minorHAnsi"/>
        </w:rPr>
        <w:t>L</w:t>
      </w:r>
      <w:r w:rsidR="002B57EE" w:rsidRPr="00AB07C4">
        <w:rPr>
          <w:rFonts w:cstheme="minorHAnsi"/>
        </w:rPr>
        <w:t>a rimodulazione</w:t>
      </w:r>
      <w:r w:rsidR="000073CA">
        <w:rPr>
          <w:rFonts w:cstheme="minorHAnsi"/>
        </w:rPr>
        <w:t xml:space="preserve">– commenta Cartabellotta </w:t>
      </w:r>
      <w:r w:rsidR="002B57EE">
        <w:rPr>
          <w:rFonts w:cstheme="minorHAnsi"/>
        </w:rPr>
        <w:t>–</w:t>
      </w:r>
      <w:r w:rsidR="003E1CA7">
        <w:rPr>
          <w:rFonts w:cstheme="minorHAnsi"/>
        </w:rPr>
        <w:t xml:space="preserve"> </w:t>
      </w:r>
      <w:r w:rsidRPr="00AB07C4">
        <w:rPr>
          <w:rFonts w:cstheme="minorHAnsi"/>
        </w:rPr>
        <w:t xml:space="preserve">prevedrebbe </w:t>
      </w:r>
      <w:r w:rsidR="002B57EE">
        <w:rPr>
          <w:rFonts w:cstheme="minorHAnsi"/>
        </w:rPr>
        <w:t xml:space="preserve">dunque </w:t>
      </w:r>
      <w:r w:rsidRPr="00AB07C4">
        <w:rPr>
          <w:rFonts w:cstheme="minorHAnsi"/>
        </w:rPr>
        <w:t>di espungere</w:t>
      </w:r>
      <w:r w:rsidR="0039792C">
        <w:rPr>
          <w:rFonts w:cstheme="minorHAnsi"/>
        </w:rPr>
        <w:t>,</w:t>
      </w:r>
      <w:r w:rsidR="00A24493">
        <w:rPr>
          <w:rFonts w:cstheme="minorHAnsi"/>
        </w:rPr>
        <w:t xml:space="preserve"> oltre </w:t>
      </w:r>
      <w:r w:rsidR="00A24493" w:rsidRPr="00AB07C4">
        <w:rPr>
          <w:rFonts w:cstheme="minorHAnsi"/>
        </w:rPr>
        <w:t>a quelli da realizzare ex novo</w:t>
      </w:r>
      <w:r w:rsidR="0039792C">
        <w:rPr>
          <w:rFonts w:cstheme="minorHAnsi"/>
        </w:rPr>
        <w:t>,</w:t>
      </w:r>
      <w:r w:rsidR="00A24493">
        <w:rPr>
          <w:rFonts w:cstheme="minorHAnsi"/>
        </w:rPr>
        <w:t xml:space="preserve"> </w:t>
      </w:r>
      <w:r w:rsidRPr="00AB07C4">
        <w:rPr>
          <w:rFonts w:cstheme="minorHAnsi"/>
        </w:rPr>
        <w:t>ulteriori 105 Case della Comunità, 87 Centrali Operative Territoriali e 2 Ospedali di Comunità, con criteri e distribuzione regionale al momento non noti</w:t>
      </w:r>
      <w:r w:rsidR="000073CA" w:rsidRPr="00566963">
        <w:rPr>
          <w:rFonts w:cstheme="minorHAnsi"/>
        </w:rPr>
        <w:t>»</w:t>
      </w:r>
      <w:r w:rsidRPr="00AB07C4">
        <w:rPr>
          <w:rFonts w:cstheme="minorHAnsi"/>
        </w:rPr>
        <w:t>.</w:t>
      </w:r>
      <w:r w:rsidR="00A24493">
        <w:rPr>
          <w:rFonts w:cstheme="minorHAnsi"/>
        </w:rPr>
        <w:t xml:space="preserve"> </w:t>
      </w:r>
      <w:r w:rsidR="000A47FF" w:rsidRPr="000A47FF">
        <w:rPr>
          <w:rFonts w:cstheme="minorHAnsi"/>
        </w:rPr>
        <w:t>Secondo quanto riportato nel piano di rimodulazione</w:t>
      </w:r>
      <w:r w:rsidR="000A47FF">
        <w:rPr>
          <w:rFonts w:cstheme="minorHAnsi"/>
        </w:rPr>
        <w:t xml:space="preserve"> </w:t>
      </w:r>
      <w:r w:rsidR="000A47FF" w:rsidRPr="000A47FF">
        <w:rPr>
          <w:rFonts w:cstheme="minorHAnsi"/>
        </w:rPr>
        <w:t xml:space="preserve">gli investimenti espunti dovrebbero essere realizzati </w:t>
      </w:r>
      <w:r w:rsidR="00A24493">
        <w:rPr>
          <w:rFonts w:cstheme="minorHAnsi"/>
        </w:rPr>
        <w:t xml:space="preserve">utilizzando </w:t>
      </w:r>
      <w:r w:rsidR="000A47FF" w:rsidRPr="000A47FF">
        <w:rPr>
          <w:rFonts w:cstheme="minorHAnsi"/>
        </w:rPr>
        <w:t xml:space="preserve">le risorse del programma di investimenti in edilizia sanitaria e ammodernamento tecnologico (ex art. 20 L. 67/1988) non spese dalle Regioni </w:t>
      </w:r>
      <w:r w:rsidR="000A47FF">
        <w:rPr>
          <w:rFonts w:cstheme="minorHAnsi"/>
        </w:rPr>
        <w:t xml:space="preserve">- come ribadito dal Ministro Schillaci in occasione della </w:t>
      </w:r>
      <w:hyperlink r:id="rId10" w:history="1">
        <w:r w:rsidR="000A47FF" w:rsidRPr="000A47FF">
          <w:rPr>
            <w:rStyle w:val="Collegamentoipertestuale"/>
            <w:rFonts w:cstheme="minorHAnsi"/>
          </w:rPr>
          <w:t>Cabina di Regia dello scorso 10 ottobre</w:t>
        </w:r>
      </w:hyperlink>
      <w:r w:rsidR="000A47FF">
        <w:rPr>
          <w:rFonts w:cstheme="minorHAnsi"/>
        </w:rPr>
        <w:t xml:space="preserve"> - </w:t>
      </w:r>
      <w:r w:rsidR="000A47FF" w:rsidRPr="000A47FF">
        <w:rPr>
          <w:rFonts w:cstheme="minorHAnsi"/>
        </w:rPr>
        <w:t>e i fondi della politica di coesione.</w:t>
      </w:r>
      <w:r w:rsidR="005939D9">
        <w:rPr>
          <w:rFonts w:cstheme="minorHAnsi"/>
        </w:rPr>
        <w:t xml:space="preserve"> </w:t>
      </w:r>
      <w:r w:rsidRPr="00AB07C4">
        <w:rPr>
          <w:rFonts w:cstheme="minorHAnsi"/>
        </w:rPr>
        <w:t>«</w:t>
      </w:r>
      <w:r w:rsidR="0049307B">
        <w:rPr>
          <w:rFonts w:cstheme="minorHAnsi"/>
        </w:rPr>
        <w:t xml:space="preserve">Sembra poco realistica </w:t>
      </w:r>
      <w:r w:rsidRPr="00AB07C4">
        <w:rPr>
          <w:rFonts w:cstheme="minorHAnsi"/>
        </w:rPr>
        <w:t>–</w:t>
      </w:r>
      <w:r w:rsidR="00A24493">
        <w:rPr>
          <w:rFonts w:cstheme="minorHAnsi"/>
        </w:rPr>
        <w:t xml:space="preserve"> </w:t>
      </w:r>
      <w:r w:rsidRPr="00AB07C4">
        <w:rPr>
          <w:rFonts w:cstheme="minorHAnsi"/>
        </w:rPr>
        <w:t>commenta Cartabellotta –</w:t>
      </w:r>
      <w:r w:rsidR="0049307B">
        <w:rPr>
          <w:rFonts w:cstheme="minorHAnsi"/>
        </w:rPr>
        <w:t xml:space="preserve"> </w:t>
      </w:r>
      <w:r w:rsidRPr="00AB07C4">
        <w:rPr>
          <w:rFonts w:cstheme="minorHAnsi"/>
        </w:rPr>
        <w:t xml:space="preserve">la possibilità di finanziare le strutture espunte con i fondi per la ristrutturazione edilizia e ammodernamento tecnologico (ex. art. 20) non </w:t>
      </w:r>
      <w:r w:rsidR="002B57EE">
        <w:rPr>
          <w:rFonts w:cstheme="minorHAnsi"/>
        </w:rPr>
        <w:t>utilizzati</w:t>
      </w:r>
      <w:r w:rsidR="002B57EE" w:rsidRPr="00AB07C4">
        <w:rPr>
          <w:rFonts w:cstheme="minorHAnsi"/>
        </w:rPr>
        <w:t xml:space="preserve"> </w:t>
      </w:r>
      <w:r w:rsidRPr="00AB07C4">
        <w:rPr>
          <w:rFonts w:cstheme="minorHAnsi"/>
        </w:rPr>
        <w:t>dalle Regioni</w:t>
      </w:r>
      <w:r w:rsidR="002B57EE">
        <w:rPr>
          <w:rFonts w:cstheme="minorHAnsi"/>
        </w:rPr>
        <w:t>,</w:t>
      </w:r>
      <w:r w:rsidR="00497B08">
        <w:rPr>
          <w:rFonts w:cstheme="minorHAnsi"/>
        </w:rPr>
        <w:t xml:space="preserve"> che</w:t>
      </w:r>
      <w:r w:rsidR="0049307B">
        <w:rPr>
          <w:rFonts w:cstheme="minorHAnsi"/>
        </w:rPr>
        <w:t xml:space="preserve"> </w:t>
      </w:r>
      <w:r w:rsidR="00497B08">
        <w:rPr>
          <w:rFonts w:cstheme="minorHAnsi"/>
        </w:rPr>
        <w:t xml:space="preserve">hanno </w:t>
      </w:r>
      <w:r w:rsidR="002B57EE">
        <w:rPr>
          <w:rFonts w:cstheme="minorHAnsi"/>
        </w:rPr>
        <w:t xml:space="preserve">infatti </w:t>
      </w:r>
      <w:r w:rsidR="00497B08">
        <w:rPr>
          <w:rFonts w:cstheme="minorHAnsi"/>
        </w:rPr>
        <w:t xml:space="preserve">già </w:t>
      </w:r>
      <w:r w:rsidR="0049307B">
        <w:rPr>
          <w:rFonts w:cstheme="minorHAnsi"/>
        </w:rPr>
        <w:t xml:space="preserve">rilevato </w:t>
      </w:r>
      <w:hyperlink r:id="rId11" w:history="1">
        <w:r w:rsidR="0049307B">
          <w:rPr>
            <w:rStyle w:val="Collegamentoipertestuale"/>
            <w:rFonts w:cstheme="minorHAnsi"/>
          </w:rPr>
          <w:t>numerosi ostacoli</w:t>
        </w:r>
      </w:hyperlink>
      <w:r w:rsidR="00A6177F">
        <w:rPr>
          <w:rFonts w:cstheme="minorHAnsi"/>
        </w:rPr>
        <w:t xml:space="preserve">. Peraltro, non </w:t>
      </w:r>
      <w:r w:rsidR="005939D9">
        <w:rPr>
          <w:rFonts w:cstheme="minorHAnsi"/>
        </w:rPr>
        <w:t xml:space="preserve">è affatto chiaro come </w:t>
      </w:r>
      <w:r w:rsidR="00FD0D5E">
        <w:rPr>
          <w:rFonts w:cstheme="minorHAnsi"/>
        </w:rPr>
        <w:t xml:space="preserve">attuare il </w:t>
      </w:r>
      <w:r w:rsidR="00A6177F" w:rsidRPr="00A6177F">
        <w:rPr>
          <w:rFonts w:cstheme="minorHAnsi"/>
        </w:rPr>
        <w:t>meccanismo compensatorio tra Regioni</w:t>
      </w:r>
      <w:r w:rsidR="002B57EE">
        <w:rPr>
          <w:rFonts w:cstheme="minorHAnsi"/>
        </w:rPr>
        <w:t>:</w:t>
      </w:r>
      <w:r w:rsidR="002B57EE" w:rsidRPr="00A6177F">
        <w:rPr>
          <w:rFonts w:cstheme="minorHAnsi"/>
        </w:rPr>
        <w:t xml:space="preserve"> </w:t>
      </w:r>
      <w:r w:rsidR="00FD0D5E">
        <w:rPr>
          <w:rFonts w:cstheme="minorHAnsi"/>
        </w:rPr>
        <w:t xml:space="preserve">infatti, </w:t>
      </w:r>
      <w:r w:rsidR="00A6177F" w:rsidRPr="00A6177F">
        <w:rPr>
          <w:rFonts w:cstheme="minorHAnsi"/>
        </w:rPr>
        <w:t xml:space="preserve">l’entità dei fondi ex art. 20 non utilizzati non coincide con la distribuzione </w:t>
      </w:r>
      <w:r w:rsidR="00FD0D5E">
        <w:rPr>
          <w:rFonts w:cstheme="minorHAnsi"/>
        </w:rPr>
        <w:t>regionale</w:t>
      </w:r>
      <w:r w:rsidR="002B57EE" w:rsidRPr="00A6177F">
        <w:rPr>
          <w:rFonts w:cstheme="minorHAnsi"/>
        </w:rPr>
        <w:t xml:space="preserve"> </w:t>
      </w:r>
      <w:r w:rsidR="00A6177F" w:rsidRPr="00A6177F">
        <w:rPr>
          <w:rFonts w:cstheme="minorHAnsi"/>
        </w:rPr>
        <w:t>delle strutture espunte dal PNRR</w:t>
      </w:r>
      <w:r w:rsidRPr="00AB07C4">
        <w:rPr>
          <w:rFonts w:cstheme="minorHAnsi"/>
        </w:rPr>
        <w:t>».</w:t>
      </w:r>
    </w:p>
    <w:p w14:paraId="426EC96A" w14:textId="57064923" w:rsidR="00566963" w:rsidRDefault="000073CA" w:rsidP="00BD2C2E">
      <w:pPr>
        <w:jc w:val="both"/>
        <w:rPr>
          <w:rFonts w:cstheme="minorHAnsi"/>
        </w:rPr>
      </w:pPr>
      <w:r w:rsidRPr="000073CA">
        <w:rPr>
          <w:rFonts w:cstheme="minorHAnsi"/>
          <w:b/>
          <w:bCs/>
        </w:rPr>
        <w:t>Nuove linee di intervento</w:t>
      </w:r>
      <w:r>
        <w:rPr>
          <w:rFonts w:cstheme="minorHAnsi"/>
        </w:rPr>
        <w:t xml:space="preserve">. </w:t>
      </w:r>
      <w:r w:rsidRPr="00AB07C4">
        <w:rPr>
          <w:rFonts w:cstheme="minorHAnsi"/>
        </w:rPr>
        <w:t>«</w:t>
      </w:r>
      <w:r>
        <w:rPr>
          <w:rFonts w:cstheme="minorHAnsi"/>
        </w:rPr>
        <w:t>S</w:t>
      </w:r>
      <w:r w:rsidRPr="00A77136">
        <w:rPr>
          <w:rFonts w:cstheme="minorHAnsi"/>
        </w:rPr>
        <w:t>e da un lato</w:t>
      </w:r>
      <w:r>
        <w:rPr>
          <w:rFonts w:cstheme="minorHAnsi"/>
        </w:rPr>
        <w:t xml:space="preserve"> </w:t>
      </w:r>
      <w:r w:rsidR="00A77136" w:rsidRPr="00A77136">
        <w:rPr>
          <w:rFonts w:cstheme="minorHAnsi"/>
        </w:rPr>
        <w:t>le risorse vengono dichiarate insufficienti per completare le opere edilizie</w:t>
      </w:r>
      <w:r w:rsidR="00A77136">
        <w:rPr>
          <w:rFonts w:cstheme="minorHAnsi"/>
        </w:rPr>
        <w:t xml:space="preserve"> </w:t>
      </w:r>
      <w:r w:rsidR="00382D34" w:rsidRPr="00AB07C4">
        <w:rPr>
          <w:rFonts w:cstheme="minorHAnsi"/>
        </w:rPr>
        <w:t>–</w:t>
      </w:r>
      <w:r w:rsidR="00382D34">
        <w:rPr>
          <w:rFonts w:cstheme="minorHAnsi"/>
        </w:rPr>
        <w:t xml:space="preserve"> spiega il Presidente </w:t>
      </w:r>
      <w:r w:rsidR="00382D34" w:rsidRPr="00AB07C4">
        <w:rPr>
          <w:rFonts w:cstheme="minorHAnsi"/>
        </w:rPr>
        <w:t>–</w:t>
      </w:r>
      <w:r w:rsidR="00382D34">
        <w:rPr>
          <w:rFonts w:cstheme="minorHAnsi"/>
        </w:rPr>
        <w:t xml:space="preserve"> </w:t>
      </w:r>
      <w:r w:rsidR="00A77136" w:rsidRPr="00A77136">
        <w:rPr>
          <w:rFonts w:cstheme="minorHAnsi"/>
        </w:rPr>
        <w:t xml:space="preserve">il piano di rimodulazione </w:t>
      </w:r>
      <w:r>
        <w:rPr>
          <w:rFonts w:cstheme="minorHAnsi"/>
        </w:rPr>
        <w:t xml:space="preserve">prevede </w:t>
      </w:r>
      <w:r w:rsidR="00A77136" w:rsidRPr="00A77136">
        <w:rPr>
          <w:rFonts w:cstheme="minorHAnsi"/>
        </w:rPr>
        <w:t>nuove linee di intervento da finanziare “</w:t>
      </w:r>
      <w:r w:rsidR="00A77136" w:rsidRPr="00FD0D5E">
        <w:rPr>
          <w:rFonts w:cstheme="minorHAnsi"/>
          <w:i/>
          <w:iCs/>
        </w:rPr>
        <w:t>con le disponibilità residue dopo la riduzione numerica del target</w:t>
      </w:r>
      <w:r w:rsidR="00A77136" w:rsidRPr="00A77136">
        <w:rPr>
          <w:rFonts w:cstheme="minorHAnsi"/>
        </w:rPr>
        <w:t>” o grazie alle “</w:t>
      </w:r>
      <w:r w:rsidR="00A77136" w:rsidRPr="00FD0D5E">
        <w:rPr>
          <w:rFonts w:cstheme="minorHAnsi"/>
          <w:i/>
          <w:iCs/>
        </w:rPr>
        <w:t>economie di gara e di progetto</w:t>
      </w:r>
      <w:r w:rsidR="00A77136" w:rsidRPr="00A77136">
        <w:rPr>
          <w:rFonts w:cstheme="minorHAnsi"/>
        </w:rPr>
        <w:t>”</w:t>
      </w:r>
      <w:r w:rsidR="000767AE">
        <w:rPr>
          <w:rFonts w:cstheme="minorHAnsi"/>
        </w:rPr>
        <w:t>. Nuove linee che, peraltro, lasciano ipotizzare investimenti rilevanti</w:t>
      </w:r>
      <w:r w:rsidR="000F1B54">
        <w:rPr>
          <w:rFonts w:cstheme="minorHAnsi"/>
        </w:rPr>
        <w:t>, non sempre in linea con l’impianto originale del PNRR</w:t>
      </w:r>
      <w:r w:rsidR="00A77136" w:rsidRPr="00AB07C4">
        <w:rPr>
          <w:rFonts w:cstheme="minorHAnsi"/>
        </w:rPr>
        <w:t>».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In particolare, la rimodulazione prevede: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 xml:space="preserve">100 progetti innovativi sulla gestione logistica </w:t>
      </w:r>
      <w:r w:rsidR="00A77136" w:rsidRPr="00A77136">
        <w:rPr>
          <w:rFonts w:cstheme="minorHAnsi"/>
        </w:rPr>
        <w:lastRenderedPageBreak/>
        <w:t>dei farmaci;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adeguamento di 100 sale operatorie;</w:t>
      </w:r>
      <w:r w:rsidR="00A77136">
        <w:rPr>
          <w:rFonts w:cstheme="minorHAnsi"/>
        </w:rPr>
        <w:t xml:space="preserve"> </w:t>
      </w:r>
      <w:r w:rsidR="00A77136" w:rsidRPr="00A77136">
        <w:rPr>
          <w:rFonts w:cstheme="minorHAnsi"/>
        </w:rPr>
        <w:t>acquisto e/o noleggio di 80 robot chirurgici;</w:t>
      </w:r>
      <w:r w:rsidR="00A77136">
        <w:rPr>
          <w:rFonts w:cstheme="minorHAnsi"/>
        </w:rPr>
        <w:t xml:space="preserve"> </w:t>
      </w:r>
      <w:r w:rsidR="000767AE" w:rsidRPr="00A77136">
        <w:rPr>
          <w:rFonts w:cstheme="minorHAnsi"/>
        </w:rPr>
        <w:t xml:space="preserve">apparecchiature di radiodiagnostica base e/o radiologia domiciliare </w:t>
      </w:r>
      <w:r w:rsidR="000767AE">
        <w:rPr>
          <w:rFonts w:cstheme="minorHAnsi"/>
        </w:rPr>
        <w:t xml:space="preserve">destinate ai </w:t>
      </w:r>
      <w:r w:rsidR="00A77136" w:rsidRPr="00A77136">
        <w:rPr>
          <w:rFonts w:cstheme="minorHAnsi"/>
        </w:rPr>
        <w:t>poliambulatori specialistici pubblici.</w:t>
      </w:r>
    </w:p>
    <w:p w14:paraId="7AE947D9" w14:textId="4EC215D3" w:rsidR="009B7FE4" w:rsidRPr="008B2BDC" w:rsidRDefault="008B2BDC" w:rsidP="00E01976">
      <w:pPr>
        <w:jc w:val="both"/>
        <w:rPr>
          <w:rFonts w:cstheme="minorHAnsi"/>
        </w:rPr>
      </w:pPr>
      <w:r>
        <w:rPr>
          <w:rFonts w:cstheme="minorHAnsi"/>
        </w:rPr>
        <w:t xml:space="preserve">Al 30 settembre 2023 le scadenze europee sul PNRR sono state tutte rispettate; di quelle nazionali l’unica da attenzionare, tra quelle differite, è relativa all’assistenza domiciliare negli over 65. Tuttavia, </w:t>
      </w:r>
      <w:r w:rsidRPr="00843951">
        <w:rPr>
          <w:rFonts w:cstheme="minorHAnsi"/>
        </w:rPr>
        <w:t xml:space="preserve">dopo </w:t>
      </w:r>
      <w:r w:rsidR="00FD0D5E" w:rsidRPr="00843951">
        <w:rPr>
          <w:rFonts w:cstheme="minorHAnsi"/>
        </w:rPr>
        <w:t>l</w:t>
      </w:r>
      <w:r w:rsidR="00AC71A6" w:rsidRPr="00843951">
        <w:rPr>
          <w:rFonts w:cstheme="minorHAnsi"/>
        </w:rPr>
        <w:t xml:space="preserve">a fase di </w:t>
      </w:r>
      <w:r w:rsidR="00FD0D5E" w:rsidRPr="00843951">
        <w:rPr>
          <w:rFonts w:cstheme="minorHAnsi"/>
        </w:rPr>
        <w:t>avvio</w:t>
      </w:r>
      <w:r w:rsidR="00FD0D5E" w:rsidRPr="00FD0D5E">
        <w:rPr>
          <w:rFonts w:cstheme="minorHAnsi"/>
          <w:color w:val="FF0000"/>
        </w:rPr>
        <w:t xml:space="preserve"> </w:t>
      </w:r>
      <w:r>
        <w:rPr>
          <w:rFonts w:cstheme="minorHAnsi"/>
        </w:rPr>
        <w:t>della Missione Salute, le scadenze successive saranno inevitabilmente condizionate dalle criticità di attuazione</w:t>
      </w:r>
      <w:r w:rsidR="001D2E25">
        <w:rPr>
          <w:rFonts w:cstheme="minorHAnsi"/>
        </w:rPr>
        <w:t xml:space="preserve"> del DM 77 nei 21 servizi sanitari regionali</w:t>
      </w:r>
      <w:r w:rsidR="00FD0D5E">
        <w:rPr>
          <w:rFonts w:cstheme="minorHAnsi"/>
        </w:rPr>
        <w:t xml:space="preserve">. Innanzitutto, </w:t>
      </w:r>
      <w:r w:rsidR="004F3422">
        <w:rPr>
          <w:rFonts w:cstheme="minorHAnsi"/>
        </w:rPr>
        <w:t>dal</w:t>
      </w:r>
      <w:r w:rsidR="00FD0D5E">
        <w:rPr>
          <w:rFonts w:cstheme="minorHAnsi"/>
        </w:rPr>
        <w:t xml:space="preserve">la grave carenza </w:t>
      </w:r>
      <w:r w:rsidR="00FD0D5E" w:rsidRPr="008B2BDC">
        <w:rPr>
          <w:rFonts w:cstheme="minorHAnsi"/>
        </w:rPr>
        <w:t xml:space="preserve">di personale </w:t>
      </w:r>
      <w:r w:rsidR="00FD0D5E" w:rsidRPr="00AC71A6">
        <w:rPr>
          <w:rFonts w:cstheme="minorHAnsi"/>
        </w:rPr>
        <w:t>infermieristico</w:t>
      </w:r>
      <w:r w:rsidR="0022532C">
        <w:rPr>
          <w:rFonts w:cstheme="minorHAnsi"/>
        </w:rPr>
        <w:t xml:space="preserve"> e </w:t>
      </w:r>
      <w:r w:rsidR="00FD0D5E" w:rsidRPr="00AC71A6">
        <w:rPr>
          <w:rFonts w:cstheme="minorHAnsi"/>
        </w:rPr>
        <w:t xml:space="preserve">le modalità di coinvolgimento dei medici di famiglia, figure chiave </w:t>
      </w:r>
      <w:r w:rsidR="00890B27">
        <w:rPr>
          <w:rFonts w:cstheme="minorHAnsi"/>
        </w:rPr>
        <w:t>per attuare la riorganizzazione prevista dal DM 77.</w:t>
      </w:r>
      <w:r w:rsidR="0022532C">
        <w:rPr>
          <w:rFonts w:cstheme="minorHAnsi"/>
        </w:rPr>
        <w:t xml:space="preserve"> </w:t>
      </w:r>
      <w:r w:rsidR="00FD0D5E" w:rsidRPr="00AC71A6">
        <w:rPr>
          <w:rFonts w:cstheme="minorHAnsi"/>
        </w:rPr>
        <w:t>Ma</w:t>
      </w:r>
      <w:r w:rsidR="00B45C22">
        <w:rPr>
          <w:rFonts w:cstheme="minorHAnsi"/>
        </w:rPr>
        <w:t xml:space="preserve"> </w:t>
      </w:r>
      <w:r w:rsidR="00FD0D5E" w:rsidRPr="00AC71A6">
        <w:rPr>
          <w:rFonts w:cstheme="minorHAnsi"/>
        </w:rPr>
        <w:t xml:space="preserve">anche </w:t>
      </w:r>
      <w:r w:rsidR="004F3422">
        <w:rPr>
          <w:rFonts w:cstheme="minorHAnsi"/>
        </w:rPr>
        <w:t>dal</w:t>
      </w:r>
      <w:r w:rsidR="002576D2" w:rsidRPr="00AC71A6">
        <w:rPr>
          <w:rFonts w:cstheme="minorHAnsi"/>
        </w:rPr>
        <w:t xml:space="preserve">le </w:t>
      </w:r>
      <w:r w:rsidR="00FD0D5E">
        <w:rPr>
          <w:rFonts w:cstheme="minorHAnsi"/>
        </w:rPr>
        <w:t xml:space="preserve">enormi </w:t>
      </w:r>
      <w:r w:rsidR="002576D2" w:rsidRPr="008B2BDC">
        <w:rPr>
          <w:rFonts w:cstheme="minorHAnsi"/>
        </w:rPr>
        <w:t>differenze regionali</w:t>
      </w:r>
      <w:r w:rsidR="00FD0D5E">
        <w:rPr>
          <w:rFonts w:cstheme="minorHAnsi"/>
        </w:rPr>
        <w:t xml:space="preserve"> su vari ambiti:</w:t>
      </w:r>
      <w:r w:rsidR="002576D2" w:rsidRPr="008B2BDC">
        <w:rPr>
          <w:rFonts w:cstheme="minorHAnsi"/>
        </w:rPr>
        <w:t xml:space="preserve"> modelli organizzativi</w:t>
      </w:r>
      <w:r w:rsidR="00890B27">
        <w:rPr>
          <w:rFonts w:cstheme="minorHAnsi"/>
        </w:rPr>
        <w:t xml:space="preserve"> dell’assistenza territoriale</w:t>
      </w:r>
      <w:r w:rsidR="002576D2" w:rsidRPr="008B2BDC">
        <w:rPr>
          <w:rFonts w:cstheme="minorHAnsi"/>
        </w:rPr>
        <w:t xml:space="preserve">, dotazione iniziale di case </w:t>
      </w:r>
      <w:r w:rsidR="00FD0D5E">
        <w:rPr>
          <w:rFonts w:cstheme="minorHAnsi"/>
        </w:rPr>
        <w:t xml:space="preserve">della </w:t>
      </w:r>
      <w:r w:rsidR="002576D2" w:rsidRPr="008B2BDC">
        <w:rPr>
          <w:rFonts w:cstheme="minorHAnsi"/>
        </w:rPr>
        <w:t>comunità e ospedali di comunità, percentuale di over 65 in assistenza domiciliare nel 2019, attuazione del fascicolo sanitario elettronico</w:t>
      </w:r>
      <w:r w:rsidR="00843951">
        <w:rPr>
          <w:rFonts w:cstheme="minorHAnsi"/>
        </w:rPr>
        <w:t>.</w:t>
      </w:r>
    </w:p>
    <w:p w14:paraId="60486540" w14:textId="16F54DB4" w:rsidR="005C2A99" w:rsidRPr="008B2BDC" w:rsidRDefault="00FF5229" w:rsidP="00E01976">
      <w:pPr>
        <w:jc w:val="both"/>
        <w:rPr>
          <w:rFonts w:cstheme="minorHAnsi"/>
        </w:rPr>
      </w:pPr>
      <w:r w:rsidRPr="008B2BDC">
        <w:rPr>
          <w:rFonts w:cstheme="minorHAnsi"/>
        </w:rPr>
        <w:t>«Se è certo che la Missione Salute del PNRR rappresenta una grande opportunità per potenziare il SSN</w:t>
      </w:r>
      <w:r w:rsidR="00581465" w:rsidRPr="008B2BDC">
        <w:rPr>
          <w:rFonts w:cstheme="minorHAnsi"/>
        </w:rPr>
        <w:t xml:space="preserve"> – </w:t>
      </w:r>
      <w:r w:rsidR="00B45C22">
        <w:rPr>
          <w:rFonts w:cstheme="minorHAnsi"/>
        </w:rPr>
        <w:t xml:space="preserve">conclude </w:t>
      </w:r>
      <w:r w:rsidR="00581465" w:rsidRPr="008B2BDC">
        <w:rPr>
          <w:rFonts w:cstheme="minorHAnsi"/>
        </w:rPr>
        <w:t xml:space="preserve">Cartabellotta – </w:t>
      </w:r>
      <w:r w:rsidRPr="008B2BDC">
        <w:rPr>
          <w:rFonts w:cstheme="minorHAnsi"/>
        </w:rPr>
        <w:t xml:space="preserve">la sua attuazione deve essere sostenuta da </w:t>
      </w:r>
      <w:r w:rsidR="00581465" w:rsidRPr="008B2BDC">
        <w:rPr>
          <w:rFonts w:cstheme="minorHAnsi"/>
        </w:rPr>
        <w:t>a</w:t>
      </w:r>
      <w:r w:rsidRPr="008B2BDC">
        <w:rPr>
          <w:rFonts w:cstheme="minorHAnsi"/>
        </w:rPr>
        <w:t>zioni politiche. Innanzitutto, per attuare il DM 77 bisogna mettere in cam</w:t>
      </w:r>
      <w:r w:rsidRPr="00FD0D5E">
        <w:rPr>
          <w:rFonts w:cstheme="minorHAnsi"/>
        </w:rPr>
        <w:t xml:space="preserve">po coraggiose riforme di sistema, finalizzate in particolare a </w:t>
      </w:r>
      <w:r w:rsidR="008B2BDC" w:rsidRPr="00FD0D5E">
        <w:rPr>
          <w:rFonts w:cstheme="minorHAnsi"/>
        </w:rPr>
        <w:t xml:space="preserve">definire </w:t>
      </w:r>
      <w:r w:rsidR="00D83E51" w:rsidRPr="00FD0D5E">
        <w:rPr>
          <w:rFonts w:cstheme="minorHAnsi"/>
        </w:rPr>
        <w:t xml:space="preserve">il </w:t>
      </w:r>
      <w:r w:rsidRPr="00FD0D5E">
        <w:rPr>
          <w:rFonts w:cstheme="minorHAnsi"/>
        </w:rPr>
        <w:t xml:space="preserve">ruolo e </w:t>
      </w:r>
      <w:r w:rsidR="00D83E51" w:rsidRPr="00FD0D5E">
        <w:rPr>
          <w:rFonts w:cstheme="minorHAnsi"/>
        </w:rPr>
        <w:t xml:space="preserve">le </w:t>
      </w:r>
      <w:r w:rsidRPr="00FD0D5E">
        <w:rPr>
          <w:rFonts w:cstheme="minorHAnsi"/>
        </w:rPr>
        <w:t xml:space="preserve">responsabilità dei medici di famiglia; in </w:t>
      </w:r>
      <w:r w:rsidRPr="008B2BDC">
        <w:rPr>
          <w:rFonts w:cstheme="minorHAnsi"/>
        </w:rPr>
        <w:t>secondo luogo, serv</w:t>
      </w:r>
      <w:r w:rsidR="00B45C22">
        <w:rPr>
          <w:rFonts w:cstheme="minorHAnsi"/>
        </w:rPr>
        <w:t xml:space="preserve">e un potenziamento </w:t>
      </w:r>
      <w:r w:rsidR="00B45C22" w:rsidRPr="008B2BDC">
        <w:rPr>
          <w:rFonts w:cstheme="minorHAnsi"/>
        </w:rPr>
        <w:t>adeguat</w:t>
      </w:r>
      <w:r w:rsidR="00B45C22">
        <w:rPr>
          <w:rFonts w:cstheme="minorHAnsi"/>
        </w:rPr>
        <w:t>o</w:t>
      </w:r>
      <w:r w:rsidR="00B45C22" w:rsidRPr="008B2BDC">
        <w:rPr>
          <w:rFonts w:cstheme="minorHAnsi"/>
        </w:rPr>
        <w:t xml:space="preserve"> d</w:t>
      </w:r>
      <w:r w:rsidR="00B45C22">
        <w:rPr>
          <w:rFonts w:cstheme="minorHAnsi"/>
        </w:rPr>
        <w:t>el</w:t>
      </w:r>
      <w:r w:rsidR="00B45C22" w:rsidRPr="008B2BDC">
        <w:rPr>
          <w:rFonts w:cstheme="minorHAnsi"/>
        </w:rPr>
        <w:t xml:space="preserve"> personale infermieristico</w:t>
      </w:r>
      <w:r w:rsidR="00B45C22">
        <w:rPr>
          <w:rFonts w:cstheme="minorHAnsi"/>
        </w:rPr>
        <w:t xml:space="preserve">, oltre a </w:t>
      </w:r>
      <w:r w:rsidRPr="008B2BDC">
        <w:rPr>
          <w:rFonts w:cstheme="minorHAnsi"/>
        </w:rPr>
        <w:t xml:space="preserve">investimenti certi e vincolati per il personale sanitario dal 2027; infine, occorre </w:t>
      </w:r>
      <w:r w:rsidR="000073CA" w:rsidRPr="008B2BDC">
        <w:rPr>
          <w:rFonts w:cstheme="minorHAnsi"/>
        </w:rPr>
        <w:t xml:space="preserve">supportare le Regioni meridionali </w:t>
      </w:r>
      <w:r w:rsidRPr="008B2BDC">
        <w:rPr>
          <w:rFonts w:cstheme="minorHAnsi"/>
        </w:rPr>
        <w:t>per colmare i gap esistenti</w:t>
      </w:r>
      <w:r w:rsidR="000073CA" w:rsidRPr="008B2BDC">
        <w:rPr>
          <w:rFonts w:cstheme="minorHAnsi"/>
        </w:rPr>
        <w:t xml:space="preserve"> tra Nord e Sud</w:t>
      </w:r>
      <w:r w:rsidRPr="008B2BDC">
        <w:rPr>
          <w:rFonts w:cstheme="minorHAnsi"/>
        </w:rPr>
        <w:t xml:space="preserve">. </w:t>
      </w:r>
      <w:r w:rsidR="008B2BDC">
        <w:rPr>
          <w:rFonts w:cstheme="minorHAnsi"/>
        </w:rPr>
        <w:t xml:space="preserve">Ma più </w:t>
      </w:r>
      <w:r w:rsidR="000073CA" w:rsidRPr="008B2BDC">
        <w:rPr>
          <w:rFonts w:cstheme="minorHAnsi"/>
        </w:rPr>
        <w:t>in generale</w:t>
      </w:r>
      <w:r w:rsidR="008B2BDC">
        <w:rPr>
          <w:rFonts w:cstheme="minorHAnsi"/>
        </w:rPr>
        <w:t xml:space="preserve"> la politica</w:t>
      </w:r>
      <w:r w:rsidR="007C607D">
        <w:rPr>
          <w:rFonts w:cstheme="minorHAnsi"/>
        </w:rPr>
        <w:t xml:space="preserve"> è chiamata </w:t>
      </w:r>
      <w:r w:rsidRPr="008B2BDC">
        <w:rPr>
          <w:rFonts w:cstheme="minorHAnsi"/>
        </w:rPr>
        <w:t xml:space="preserve">a </w:t>
      </w:r>
      <w:r w:rsidR="008B2BDC">
        <w:rPr>
          <w:rFonts w:cstheme="minorHAnsi"/>
        </w:rPr>
        <w:t xml:space="preserve">confermare </w:t>
      </w:r>
      <w:r w:rsidRPr="008B2BDC">
        <w:rPr>
          <w:rFonts w:cstheme="minorHAnsi"/>
        </w:rPr>
        <w:t>l’impianto del</w:t>
      </w:r>
      <w:r w:rsidR="000073CA" w:rsidRPr="008B2BDC">
        <w:rPr>
          <w:rFonts w:cstheme="minorHAnsi"/>
        </w:rPr>
        <w:t xml:space="preserve"> DM 77</w:t>
      </w:r>
      <w:r w:rsidR="007C607D">
        <w:rPr>
          <w:rFonts w:cstheme="minorHAnsi"/>
        </w:rPr>
        <w:t xml:space="preserve"> </w:t>
      </w:r>
      <w:r w:rsidR="00F90904">
        <w:rPr>
          <w:rFonts w:cstheme="minorHAnsi"/>
        </w:rPr>
        <w:t xml:space="preserve">e di </w:t>
      </w:r>
      <w:r w:rsidR="007C607D">
        <w:rPr>
          <w:rFonts w:cstheme="minorHAnsi"/>
        </w:rPr>
        <w:t>inser</w:t>
      </w:r>
      <w:r w:rsidR="00F90904">
        <w:rPr>
          <w:rFonts w:cstheme="minorHAnsi"/>
        </w:rPr>
        <w:t xml:space="preserve">irlo </w:t>
      </w:r>
      <w:r w:rsidRPr="008B2BDC">
        <w:rPr>
          <w:rFonts w:cstheme="minorHAnsi"/>
        </w:rPr>
        <w:t>in un quadro di rafforzamento</w:t>
      </w:r>
      <w:r w:rsidR="00F90904">
        <w:rPr>
          <w:rFonts w:cstheme="minorHAnsi"/>
        </w:rPr>
        <w:t xml:space="preserve"> complessivo</w:t>
      </w:r>
      <w:r w:rsidRPr="008B2BDC">
        <w:rPr>
          <w:rFonts w:cstheme="minorHAnsi"/>
        </w:rPr>
        <w:t xml:space="preserve"> del</w:t>
      </w:r>
      <w:r w:rsidR="000767AE">
        <w:rPr>
          <w:rFonts w:cstheme="minorHAnsi"/>
        </w:rPr>
        <w:t xml:space="preserve">la sanità pubblica, perché le risorse del PNRR non possono </w:t>
      </w:r>
      <w:r w:rsidR="007C607D">
        <w:rPr>
          <w:rFonts w:cstheme="minorHAnsi"/>
        </w:rPr>
        <w:t>servire da</w:t>
      </w:r>
      <w:r w:rsidR="000767AE">
        <w:rPr>
          <w:rFonts w:cstheme="minorHAnsi"/>
        </w:rPr>
        <w:t xml:space="preserve"> stampella di un SSN claudicante</w:t>
      </w:r>
      <w:r w:rsidR="008B2BDC">
        <w:rPr>
          <w:rFonts w:cstheme="minorHAnsi"/>
        </w:rPr>
        <w:t xml:space="preserve">. </w:t>
      </w:r>
      <w:r w:rsidR="000767AE">
        <w:rPr>
          <w:rFonts w:cstheme="minorHAnsi"/>
        </w:rPr>
        <w:t xml:space="preserve">Purtroppo, </w:t>
      </w:r>
      <w:r w:rsidR="00B45C22">
        <w:rPr>
          <w:rFonts w:cstheme="minorHAnsi"/>
        </w:rPr>
        <w:t xml:space="preserve">da un lato </w:t>
      </w:r>
      <w:r w:rsidR="000767AE">
        <w:rPr>
          <w:rFonts w:cstheme="minorHAnsi"/>
        </w:rPr>
        <w:t>l</w:t>
      </w:r>
      <w:r w:rsidR="008B2BDC">
        <w:rPr>
          <w:rFonts w:cstheme="minorHAnsi"/>
        </w:rPr>
        <w:t>e proposte di rimodulazione del PNRR</w:t>
      </w:r>
      <w:r w:rsidR="00B45C22">
        <w:rPr>
          <w:rFonts w:cstheme="minorHAnsi"/>
        </w:rPr>
        <w:t xml:space="preserve">, dall’altro </w:t>
      </w:r>
      <w:r w:rsidR="008B2BDC">
        <w:rPr>
          <w:rFonts w:cstheme="minorHAnsi"/>
        </w:rPr>
        <w:t>le previsioni della NaDEF 2023 sulla spesa sanitaria e la</w:t>
      </w:r>
      <w:r w:rsidR="00B45C22">
        <w:rPr>
          <w:rFonts w:cstheme="minorHAnsi"/>
        </w:rPr>
        <w:t xml:space="preserve"> </w:t>
      </w:r>
      <w:r w:rsidR="008B2BDC">
        <w:rPr>
          <w:rFonts w:cstheme="minorHAnsi"/>
        </w:rPr>
        <w:t>Legge di Bilancio 2024 non sembrano affatto andare in questa direzione</w:t>
      </w:r>
      <w:r w:rsidRPr="008B2BDC">
        <w:rPr>
          <w:rFonts w:cstheme="minorHAnsi"/>
        </w:rPr>
        <w:t>».</w:t>
      </w:r>
    </w:p>
    <w:p w14:paraId="5C455CD3" w14:textId="77777777" w:rsidR="00C27666" w:rsidRDefault="00C27666" w:rsidP="00FD63E4">
      <w:pPr>
        <w:spacing w:after="0"/>
        <w:rPr>
          <w:rFonts w:ascii="Calibri" w:hAnsi="Calibri" w:cstheme="minorHAnsi"/>
          <w:lang w:eastAsia="it-IT"/>
        </w:rPr>
      </w:pPr>
    </w:p>
    <w:p w14:paraId="4A47ADD8" w14:textId="3CF9F554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3AE50552" w14:textId="77777777" w:rsidR="00FD63E4" w:rsidRPr="005240BD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7F09EA0F" w14:textId="77777777" w:rsidR="00FD63E4" w:rsidRDefault="00FD63E4" w:rsidP="00FD63E4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2" w:history="1">
        <w:r w:rsidRPr="005240BD">
          <w:rPr>
            <w:rFonts w:eastAsia="Calibri" w:cstheme="minorHAnsi"/>
          </w:rPr>
          <w:t>ufficio.stampa@gimbe.org</w:t>
        </w:r>
      </w:hyperlink>
    </w:p>
    <w:p w14:paraId="3A654865" w14:textId="77777777" w:rsidR="0001114E" w:rsidRDefault="00451586" w:rsidP="00CC3536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5A9729C6" w14:textId="77777777" w:rsidR="0001114E" w:rsidRDefault="0001114E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1D319801" w14:textId="048B7B62" w:rsidR="00451586" w:rsidRPr="0073042B" w:rsidRDefault="00ED6E07" w:rsidP="00ED6E07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73042B">
        <w:rPr>
          <w:b/>
          <w:bCs/>
          <w:color w:val="00457D"/>
          <w:u w:color="00457D"/>
        </w:rPr>
        <w:t>Tabella</w:t>
      </w:r>
      <w:r w:rsidR="00451586" w:rsidRPr="0073042B">
        <w:rPr>
          <w:b/>
          <w:bCs/>
          <w:color w:val="00457D"/>
          <w:u w:color="00457D"/>
        </w:rPr>
        <w:t xml:space="preserve"> 1</w:t>
      </w:r>
      <w:r w:rsidRPr="0073042B">
        <w:rPr>
          <w:b/>
          <w:bCs/>
          <w:color w:val="00457D"/>
          <w:u w:color="00457D"/>
        </w:rPr>
        <w:t>.</w:t>
      </w:r>
      <w:r w:rsidR="0073042B" w:rsidRPr="0073042B">
        <w:rPr>
          <w:b/>
          <w:bCs/>
          <w:color w:val="00457D"/>
          <w:u w:color="00457D"/>
        </w:rPr>
        <w:t xml:space="preserve"> Milestone</w:t>
      </w:r>
      <w:r w:rsidR="0073042B">
        <w:rPr>
          <w:b/>
          <w:bCs/>
          <w:color w:val="00457D"/>
          <w:u w:color="00457D"/>
        </w:rPr>
        <w:t xml:space="preserve"> (M) e </w:t>
      </w:r>
      <w:r w:rsidR="0073042B" w:rsidRPr="0073042B">
        <w:rPr>
          <w:b/>
          <w:bCs/>
          <w:color w:val="00457D"/>
          <w:u w:color="00457D"/>
        </w:rPr>
        <w:t xml:space="preserve">Target </w:t>
      </w:r>
      <w:r w:rsidR="0073042B">
        <w:rPr>
          <w:b/>
          <w:bCs/>
          <w:color w:val="00457D"/>
          <w:u w:color="00457D"/>
        </w:rPr>
        <w:t xml:space="preserve">(T) </w:t>
      </w:r>
      <w:r w:rsidR="0073042B" w:rsidRPr="0073042B">
        <w:rPr>
          <w:b/>
          <w:bCs/>
          <w:color w:val="00457D"/>
          <w:u w:color="00457D"/>
        </w:rPr>
        <w:t>di interesse nazionale non raggiunti al 30 settembre 2023</w:t>
      </w:r>
    </w:p>
    <w:tbl>
      <w:tblPr>
        <w:tblW w:w="51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04"/>
        <w:gridCol w:w="1069"/>
        <w:gridCol w:w="1514"/>
        <w:gridCol w:w="1516"/>
        <w:gridCol w:w="772"/>
      </w:tblGrid>
      <w:tr w:rsidR="00ED6E07" w:rsidRPr="000C6F74" w14:paraId="4F53001D" w14:textId="77777777" w:rsidTr="0073042B">
        <w:trPr>
          <w:trHeight w:val="510"/>
        </w:trPr>
        <w:tc>
          <w:tcPr>
            <w:tcW w:w="289" w:type="pct"/>
            <w:tcBorders>
              <w:top w:val="single" w:sz="8" w:space="0" w:color="00457D"/>
              <w:left w:val="single" w:sz="8" w:space="0" w:color="00457D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DAD54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1" w:name="_Hlk146280869"/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M/T</w:t>
            </w:r>
          </w:p>
        </w:tc>
        <w:tc>
          <w:tcPr>
            <w:tcW w:w="2237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03555C4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543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2830E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Target</w:t>
            </w: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br/>
              <w:t>raggiunto</w:t>
            </w:r>
          </w:p>
        </w:tc>
        <w:tc>
          <w:tcPr>
            <w:tcW w:w="769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5E8A23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Scadenza iniziale</w:t>
            </w:r>
          </w:p>
        </w:tc>
        <w:tc>
          <w:tcPr>
            <w:tcW w:w="770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FFFFFF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8A4473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 xml:space="preserve">Nuova </w:t>
            </w: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br/>
              <w:t>scadenza</w:t>
            </w:r>
          </w:p>
        </w:tc>
        <w:tc>
          <w:tcPr>
            <w:tcW w:w="393" w:type="pct"/>
            <w:tcBorders>
              <w:top w:val="single" w:sz="8" w:space="0" w:color="00457D"/>
              <w:left w:val="nil"/>
              <w:bottom w:val="single" w:sz="8" w:space="0" w:color="00457D"/>
              <w:right w:val="single" w:sz="8" w:space="0" w:color="00457D"/>
            </w:tcBorders>
            <w:shd w:val="clear" w:color="auto" w:fill="00457D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14DC387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b/>
                <w:bCs/>
                <w:color w:val="FFFFFF"/>
                <w:sz w:val="20"/>
                <w:szCs w:val="20"/>
                <w:lang w:eastAsia="it-IT"/>
              </w:rPr>
              <w:t>Gap (mesi)</w:t>
            </w:r>
          </w:p>
        </w:tc>
      </w:tr>
      <w:tr w:rsidR="00ED6E07" w:rsidRPr="000C6F74" w14:paraId="3B256656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E382BE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BFA29AC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Nuovi pazienti che ricevono assistenza domiciliare (prima parte)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71D67A8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66%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E1E4609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31/03/23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A71B557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31/03/24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7469DEE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+12</w:t>
            </w:r>
          </w:p>
        </w:tc>
      </w:tr>
      <w:tr w:rsidR="00ED6E07" w:rsidRPr="000C6F74" w14:paraId="4E4847B5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4D3D7E5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E0E402F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Stipula contratto per gli strumenti di intelligenza artificiale a supporto dell'assistenza primaria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3C13CAB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7412DB0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A8269F1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827147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22E4D8BF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F3D2FB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F1B410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pacing w:val="-4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pacing w:val="-4"/>
                <w:sz w:val="20"/>
                <w:szCs w:val="20"/>
                <w:lang w:eastAsia="it-IT"/>
              </w:rPr>
              <w:t>Stipula contratti per l'interconnessione aziendale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4958B3A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90%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0AF980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127DA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6AC3C3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4BFD620F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05BE71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T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0BE0134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Stipula dei contratti per la realizzazione delle Centrali Operative Territoriali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440EE2D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88%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9FDF65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EE1023C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91F975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tr w:rsidR="00ED6E07" w:rsidRPr="000C6F74" w14:paraId="4E2F9CE1" w14:textId="77777777" w:rsidTr="008D257B">
        <w:trPr>
          <w:trHeight w:val="454"/>
        </w:trPr>
        <w:tc>
          <w:tcPr>
            <w:tcW w:w="289" w:type="pct"/>
            <w:tcBorders>
              <w:top w:val="nil"/>
              <w:left w:val="single" w:sz="8" w:space="0" w:color="00457D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2A7ACB2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2237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598FAF0" w14:textId="77777777" w:rsidR="00ED6E07" w:rsidRPr="000C6F74" w:rsidRDefault="00ED6E07" w:rsidP="008D257B">
            <w:pPr>
              <w:spacing w:after="0" w:line="240" w:lineRule="auto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Completamento della procedura di iscrizione ai corsi di formazione manageriale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8DF8D99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N.A.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347FA3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30/06/23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B566BA4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31/12/23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00457D"/>
              <w:right w:val="single" w:sz="8" w:space="0" w:color="00457D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D6C48BF" w14:textId="77777777" w:rsidR="00ED6E07" w:rsidRPr="000C6F74" w:rsidRDefault="00ED6E07" w:rsidP="008D257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  <w:r w:rsidRPr="000C6F74">
              <w:rPr>
                <w:rFonts w:cstheme="minorHAnsi"/>
                <w:sz w:val="20"/>
                <w:szCs w:val="20"/>
                <w:lang w:eastAsia="it-IT"/>
              </w:rPr>
              <w:t>+6</w:t>
            </w:r>
          </w:p>
        </w:tc>
      </w:tr>
      <w:bookmarkEnd w:id="1"/>
    </w:tbl>
    <w:p w14:paraId="12A12087" w14:textId="77777777" w:rsidR="00451586" w:rsidRDefault="00451586" w:rsidP="0034210D">
      <w:pPr>
        <w:spacing w:after="0"/>
        <w:rPr>
          <w:rFonts w:eastAsia="Calibri" w:cstheme="minorHAnsi"/>
        </w:rPr>
      </w:pPr>
    </w:p>
    <w:p w14:paraId="4A699D6E" w14:textId="77777777" w:rsidR="0001114E" w:rsidRDefault="0001114E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7E4F48A" w14:textId="540AE5BA" w:rsidR="00D81357" w:rsidRPr="0073042B" w:rsidRDefault="000C6F74" w:rsidP="000C6F7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73042B">
        <w:rPr>
          <w:b/>
          <w:bCs/>
          <w:color w:val="00457D"/>
          <w:u w:color="00457D"/>
        </w:rPr>
        <w:t>Tabella</w:t>
      </w:r>
      <w:r w:rsidR="00D81357" w:rsidRPr="0073042B">
        <w:rPr>
          <w:b/>
          <w:bCs/>
          <w:color w:val="00457D"/>
          <w:u w:color="00457D"/>
        </w:rPr>
        <w:t xml:space="preserve"> 2</w:t>
      </w:r>
      <w:r w:rsidR="0073042B" w:rsidRPr="0073042B">
        <w:rPr>
          <w:b/>
          <w:bCs/>
          <w:color w:val="00457D"/>
          <w:u w:color="00457D"/>
        </w:rPr>
        <w:t>. Strutture funzionalmente attive (dati Agenas</w:t>
      </w:r>
      <w:r w:rsidR="00A10DFC">
        <w:rPr>
          <w:b/>
          <w:bCs/>
          <w:color w:val="00457D"/>
          <w:u w:color="00457D"/>
        </w:rPr>
        <w:t>, giugno 2023</w:t>
      </w:r>
      <w:r w:rsidR="0073042B" w:rsidRPr="0073042B">
        <w:rPr>
          <w:b/>
          <w:bCs/>
          <w:color w:val="00457D"/>
          <w:u w:color="00457D"/>
        </w:rPr>
        <w:t>)</w:t>
      </w:r>
    </w:p>
    <w:tbl>
      <w:tblPr>
        <w:tblW w:w="5665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3"/>
        <w:gridCol w:w="1280"/>
        <w:gridCol w:w="1141"/>
        <w:gridCol w:w="1251"/>
      </w:tblGrid>
      <w:tr w:rsidR="000C6F74" w:rsidRPr="000C6F74" w14:paraId="0D51E29D" w14:textId="77777777" w:rsidTr="005A32A6">
        <w:trPr>
          <w:trHeight w:val="312"/>
          <w:jc w:val="center"/>
        </w:trPr>
        <w:tc>
          <w:tcPr>
            <w:tcW w:w="199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155531F0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069902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Case di </w:t>
            </w: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CCC7C2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Centrali operative territoriali</w:t>
            </w: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BC34598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Ospedali di comunità</w:t>
            </w:r>
          </w:p>
        </w:tc>
      </w:tr>
      <w:tr w:rsidR="000C6F74" w:rsidRPr="000C6F74" w14:paraId="4F6D03A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196F6765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1DE56A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9AFDB2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A782D4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EE6A885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243142B5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d'Aosta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D8DFF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B14C1C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65AA7D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052F4AE6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1DBCAFC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07092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0F5F9D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077DEE6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0C6F74" w:rsidRPr="000C6F74" w14:paraId="4AF713C6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259017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Bolzano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9B117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76FAFCF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5C8948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0BE22B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3BE8221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Trento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E92CE6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104476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C338D3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1B980C5D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945CFB8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3EA38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6C1367A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F7C38B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</w:tr>
      <w:tr w:rsidR="000C6F74" w:rsidRPr="000C6F74" w14:paraId="0181A12D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31EFD64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EBA2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8BC183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2F9BAD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489011C7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510F15E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608A1E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438F34A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7DA30D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1110BB1B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5A06D42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307078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4FB9D5C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74B5BE2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0C6F74" w:rsidRPr="000C6F74" w14:paraId="35ADD2E7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49E6B1A8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23A525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76E646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66CC42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70A4FDFE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880C461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EFA9CA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F57625E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6658B7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</w:tr>
      <w:tr w:rsidR="000C6F74" w:rsidRPr="000C6F74" w14:paraId="6937653E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4B0F35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373D9A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E72747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7EC24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65BFC10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0D33EBF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BF13B6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1080A6E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28EABA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1A26F2AA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1E1B5D9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B0A1CF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E065FD1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59682D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C6F74" w:rsidRPr="000C6F74" w14:paraId="03E05EC0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33814D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842E9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5EFCDA7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556895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0C6F74" w:rsidRPr="000C6F74" w14:paraId="367F5DC9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519F946F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0E585D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B60D32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C918A9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C6F74" w:rsidRPr="000C6F74" w14:paraId="4C093FB2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4F3DBD10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8AEEE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FAB59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715D7E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</w:tr>
      <w:tr w:rsidR="000C6F74" w:rsidRPr="000C6F74" w14:paraId="3BC3C4F4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19DD5AAC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EC252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D59B9D0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63A0AF9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6C2A6189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60679DF4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2238744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2808E53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84E3A9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36E596C1" w14:textId="77777777" w:rsidTr="005A32A6">
        <w:trPr>
          <w:trHeight w:val="312"/>
          <w:jc w:val="center"/>
        </w:trPr>
        <w:tc>
          <w:tcPr>
            <w:tcW w:w="1993" w:type="dxa"/>
            <w:shd w:val="clear" w:color="auto" w:fill="auto"/>
            <w:noWrap/>
            <w:vAlign w:val="center"/>
            <w:hideMark/>
          </w:tcPr>
          <w:p w14:paraId="30ECA4E7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7F0D8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14:paraId="0237E00C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49AEF92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22CD1456" w14:textId="77777777" w:rsidTr="005A32A6">
        <w:trPr>
          <w:trHeight w:val="312"/>
          <w:jc w:val="center"/>
        </w:trPr>
        <w:tc>
          <w:tcPr>
            <w:tcW w:w="1993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20D54C16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280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1D49B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44547CA7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83EF86B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</w:tr>
      <w:tr w:rsidR="000C6F74" w:rsidRPr="000C6F74" w14:paraId="7A32D0BC" w14:textId="77777777" w:rsidTr="005A32A6">
        <w:trPr>
          <w:trHeight w:val="312"/>
          <w:jc w:val="center"/>
        </w:trPr>
        <w:tc>
          <w:tcPr>
            <w:tcW w:w="1993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091FDA3" w14:textId="77777777" w:rsidR="000C6F74" w:rsidRPr="000C6F74" w:rsidRDefault="000C6F74" w:rsidP="005A32A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12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BBC1A3F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A47E065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2783FC3" w14:textId="77777777" w:rsidR="000C6F74" w:rsidRPr="000C6F74" w:rsidRDefault="000C6F74" w:rsidP="005A32A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C6F74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76</w:t>
            </w:r>
          </w:p>
        </w:tc>
      </w:tr>
    </w:tbl>
    <w:p w14:paraId="1207E982" w14:textId="74E142B6" w:rsidR="006051D7" w:rsidRDefault="006051D7" w:rsidP="0001114E">
      <w:pPr>
        <w:spacing w:after="0"/>
        <w:jc w:val="center"/>
        <w:rPr>
          <w:rFonts w:eastAsia="Calibri" w:cstheme="minorHAnsi"/>
        </w:rPr>
      </w:pPr>
    </w:p>
    <w:p w14:paraId="0F2BC812" w14:textId="77777777" w:rsidR="008D257B" w:rsidRDefault="008D257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2B8AA9F0" w14:textId="7D2F004F" w:rsidR="006051D7" w:rsidRPr="00AB07C4" w:rsidRDefault="00DE38A1" w:rsidP="00AB07C4">
      <w:pPr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lastRenderedPageBreak/>
        <w:t>Tabella</w:t>
      </w:r>
      <w:r w:rsidRPr="00AB07C4">
        <w:rPr>
          <w:b/>
          <w:bCs/>
          <w:color w:val="00457D"/>
          <w:u w:color="00457D"/>
        </w:rPr>
        <w:t xml:space="preserve"> </w:t>
      </w:r>
      <w:r w:rsidR="006051D7" w:rsidRPr="00AB07C4">
        <w:rPr>
          <w:b/>
          <w:bCs/>
          <w:color w:val="00457D"/>
          <w:u w:color="00457D"/>
        </w:rPr>
        <w:t>3</w:t>
      </w:r>
      <w:r w:rsidR="00AB07C4" w:rsidRPr="00AB07C4">
        <w:rPr>
          <w:b/>
          <w:bCs/>
          <w:color w:val="00457D"/>
          <w:u w:color="00457D"/>
        </w:rPr>
        <w:t xml:space="preserve">. </w:t>
      </w:r>
      <w:r w:rsidR="00AB07C4">
        <w:rPr>
          <w:b/>
          <w:bCs/>
          <w:color w:val="00457D"/>
          <w:u w:color="00457D"/>
        </w:rPr>
        <w:t>Proposta di r</w:t>
      </w:r>
      <w:r w:rsidR="00AB07C4" w:rsidRPr="00AB07C4">
        <w:rPr>
          <w:b/>
          <w:bCs/>
          <w:color w:val="00457D"/>
          <w:u w:color="00457D"/>
        </w:rPr>
        <w:t>imodulazione delle opere edilizie</w:t>
      </w:r>
    </w:p>
    <w:tbl>
      <w:tblPr>
        <w:tblW w:w="4053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3124"/>
        <w:gridCol w:w="1564"/>
        <w:gridCol w:w="1878"/>
        <w:gridCol w:w="1238"/>
      </w:tblGrid>
      <w:tr w:rsidR="00AB07C4" w:rsidRPr="00AB07C4" w14:paraId="390BAB89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3AEA5CB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color w:val="FFFFFF" w:themeColor="background1"/>
                <w:sz w:val="20"/>
              </w:rPr>
              <w:t>Opere edilizie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E1B3C21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Previsione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8" w:space="0" w:color="FFFFFF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5DEA099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Rimodulazione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8" w:space="0" w:color="FFFFFF"/>
              <w:bottom w:val="single" w:sz="4" w:space="0" w:color="00457D"/>
              <w:right w:val="single" w:sz="4" w:space="0" w:color="00457D"/>
            </w:tcBorders>
            <w:shd w:val="clear" w:color="auto" w:fill="00457D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8C3C28E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color w:val="FFFFFF" w:themeColor="background1"/>
                <w:sz w:val="20"/>
              </w:rPr>
            </w:pPr>
            <w:r w:rsidRPr="00AB07C4">
              <w:rPr>
                <w:rFonts w:cstheme="minorHAnsi"/>
                <w:b/>
                <w:bCs/>
                <w:color w:val="FFFFFF" w:themeColor="background1"/>
                <w:sz w:val="20"/>
              </w:rPr>
              <w:t>Delta</w:t>
            </w:r>
          </w:p>
        </w:tc>
      </w:tr>
      <w:tr w:rsidR="00AB07C4" w:rsidRPr="00AB07C4" w14:paraId="523715CD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C07A78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Case della Comunità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626FCF2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1.350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0C2C854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936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4B8BEE05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-414</w:t>
            </w:r>
          </w:p>
        </w:tc>
      </w:tr>
      <w:tr w:rsidR="00AB07C4" w:rsidRPr="00AB07C4" w14:paraId="5CE6F952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64C3290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Centrali operative territoriali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43C9707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600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337AC3C8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524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7B59A24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-76</w:t>
            </w:r>
          </w:p>
        </w:tc>
      </w:tr>
      <w:tr w:rsidR="00AB07C4" w:rsidRPr="00AB07C4" w14:paraId="39AAA5BA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23F79901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Ospedali di Comunità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CB58983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400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B6951BE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304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2718FE8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-96</w:t>
            </w:r>
          </w:p>
        </w:tc>
      </w:tr>
      <w:tr w:rsidR="00AB07C4" w:rsidRPr="00AB07C4" w14:paraId="4AC2F1FA" w14:textId="77777777" w:rsidTr="005A32A6">
        <w:trPr>
          <w:trHeight w:val="227"/>
          <w:jc w:val="center"/>
        </w:trPr>
        <w:tc>
          <w:tcPr>
            <w:tcW w:w="2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2A4A05E" w14:textId="77777777" w:rsidR="00AB07C4" w:rsidRPr="00AB07C4" w:rsidRDefault="00AB07C4" w:rsidP="005A32A6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Interventi di antisismica</w:t>
            </w:r>
          </w:p>
        </w:tc>
        <w:tc>
          <w:tcPr>
            <w:tcW w:w="1002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60A92125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109</w:t>
            </w:r>
          </w:p>
        </w:tc>
        <w:tc>
          <w:tcPr>
            <w:tcW w:w="120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536970F7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sz w:val="20"/>
              </w:rPr>
              <w:t>87</w:t>
            </w:r>
          </w:p>
        </w:tc>
        <w:tc>
          <w:tcPr>
            <w:tcW w:w="793" w:type="pct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  <w:hideMark/>
          </w:tcPr>
          <w:p w14:paraId="0F1F9C7C" w14:textId="77777777" w:rsidR="00AB07C4" w:rsidRPr="00AB07C4" w:rsidRDefault="00AB07C4" w:rsidP="005A32A6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</w:rPr>
            </w:pPr>
            <w:r w:rsidRPr="00AB07C4">
              <w:rPr>
                <w:rFonts w:cstheme="minorHAnsi"/>
                <w:bCs/>
                <w:sz w:val="20"/>
              </w:rPr>
              <w:t>-22</w:t>
            </w:r>
          </w:p>
        </w:tc>
      </w:tr>
    </w:tbl>
    <w:p w14:paraId="60590F59" w14:textId="77777777" w:rsidR="00AB07C4" w:rsidRPr="00AB07C4" w:rsidRDefault="00AB07C4" w:rsidP="00AB07C4">
      <w:pPr>
        <w:jc w:val="center"/>
        <w:rPr>
          <w:rFonts w:eastAsia="Calibri" w:cstheme="minorHAnsi"/>
        </w:rPr>
      </w:pPr>
    </w:p>
    <w:p w14:paraId="17A3C6CC" w14:textId="6ED012EA" w:rsidR="000A47FF" w:rsidRPr="000A47FF" w:rsidRDefault="00A06334" w:rsidP="000A47FF">
      <w:pPr>
        <w:spacing w:after="0" w:line="360" w:lineRule="auto"/>
        <w:jc w:val="center"/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t>Tabella</w:t>
      </w:r>
      <w:r w:rsidR="006051D7" w:rsidRPr="000A47FF">
        <w:rPr>
          <w:b/>
          <w:bCs/>
          <w:color w:val="00457D"/>
          <w:u w:color="00457D"/>
        </w:rPr>
        <w:t xml:space="preserve"> 4</w:t>
      </w:r>
      <w:r w:rsidR="000A47FF">
        <w:rPr>
          <w:b/>
          <w:bCs/>
          <w:color w:val="00457D"/>
          <w:u w:color="00457D"/>
        </w:rPr>
        <w:t xml:space="preserve">. </w:t>
      </w:r>
      <w:r w:rsidR="000A47FF" w:rsidRPr="000A47FF">
        <w:rPr>
          <w:b/>
          <w:bCs/>
          <w:color w:val="00457D"/>
          <w:u w:color="00457D"/>
        </w:rPr>
        <w:t>Strutture da edificare (dati Agenas</w:t>
      </w:r>
      <w:r w:rsidR="00D83E51">
        <w:rPr>
          <w:b/>
          <w:bCs/>
          <w:color w:val="00457D"/>
          <w:u w:color="00457D"/>
        </w:rPr>
        <w:t>, giugno</w:t>
      </w:r>
      <w:r w:rsidR="00A10DFC">
        <w:rPr>
          <w:b/>
          <w:bCs/>
          <w:color w:val="00457D"/>
          <w:u w:color="00457D"/>
        </w:rPr>
        <w:t xml:space="preserve"> 2023</w:t>
      </w:r>
      <w:r w:rsidR="000A47FF" w:rsidRPr="000A47FF">
        <w:rPr>
          <w:b/>
          <w:bCs/>
          <w:color w:val="00457D"/>
          <w:u w:color="00457D"/>
        </w:rPr>
        <w:t>)</w:t>
      </w:r>
    </w:p>
    <w:tbl>
      <w:tblPr>
        <w:tblW w:w="735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341"/>
        <w:gridCol w:w="1341"/>
        <w:gridCol w:w="1341"/>
        <w:gridCol w:w="1342"/>
      </w:tblGrid>
      <w:tr w:rsidR="000A47FF" w:rsidRPr="000A47FF" w14:paraId="3D3F20F0" w14:textId="77777777" w:rsidTr="005A32A6">
        <w:trPr>
          <w:trHeight w:val="340"/>
          <w:jc w:val="center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10E449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Regione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B6A55C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Case della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596AB0D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Centrali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 xml:space="preserve">Operative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Territoriali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D0E970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 xml:space="preserve">Ospedali di </w:t>
            </w: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br/>
              <w:t>Comunità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3C5FB1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</w:tr>
      <w:tr w:rsidR="000A47FF" w:rsidRPr="000A47FF" w14:paraId="434C05C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DF60C5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Piemonte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990274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A3FB41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8ECECB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442D75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</w:tr>
      <w:tr w:rsidR="000A47FF" w:rsidRPr="000A47FF" w14:paraId="6C8D536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6E07C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Valle d’Aosta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F5EE78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E5619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8DDAA2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AD4B0B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A47FF" w:rsidRPr="000A47FF" w14:paraId="2C4DD955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C62D6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Lombardia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1C79F4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2374E9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ECF269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C073A2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68</w:t>
            </w:r>
          </w:p>
        </w:tc>
      </w:tr>
      <w:tr w:rsidR="000A47FF" w:rsidRPr="000A47FF" w14:paraId="19F0E8AF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976772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 Aut. Bolzano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8686A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8D9649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6F43AA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327A53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</w:tr>
      <w:tr w:rsidR="000A47FF" w:rsidRPr="000A47FF" w14:paraId="493B31DC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1B446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Prov. Aut. Trento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31C4AE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F7198A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3FAA66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1CF4FF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</w:tr>
      <w:tr w:rsidR="000A47FF" w:rsidRPr="000A47FF" w14:paraId="78CC5378" w14:textId="77777777" w:rsidTr="005A32A6">
        <w:trPr>
          <w:trHeight w:val="340"/>
          <w:jc w:val="center"/>
        </w:trPr>
        <w:tc>
          <w:tcPr>
            <w:tcW w:w="1985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7EF4A62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Veneto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A9803B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04D31E3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23B915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tcBorders>
              <w:bottom w:val="single" w:sz="4" w:space="0" w:color="00457D"/>
            </w:tcBorders>
            <w:shd w:val="clear" w:color="auto" w:fill="auto"/>
            <w:noWrap/>
            <w:vAlign w:val="center"/>
            <w:hideMark/>
          </w:tcPr>
          <w:p w14:paraId="3244145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</w:tr>
      <w:tr w:rsidR="000A47FF" w:rsidRPr="000A47FF" w14:paraId="6073E4C9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B1FF3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Friuli Venezia Giulia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CF582C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1A6A31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0CACBC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EF8236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</w:tr>
      <w:tr w:rsidR="000A47FF" w:rsidRPr="000A47FF" w14:paraId="26C705C9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CEB34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Liguria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578113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A39575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4D7FE0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D38CAC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0A47FF" w:rsidRPr="000A47FF" w14:paraId="3A89E8C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5C849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Emilia-Romagna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651714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74C6E8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3FF78A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AC3F48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42</w:t>
            </w:r>
          </w:p>
        </w:tc>
      </w:tr>
      <w:tr w:rsidR="000A47FF" w:rsidRPr="000A47FF" w14:paraId="2F9328CC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B47B3A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Toscana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1E844D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6A61E7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DEA6DD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58522C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tr w:rsidR="000A47FF" w:rsidRPr="000A47FF" w14:paraId="207C07A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0D60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Umbria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E70968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04C734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FEFD672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F0290D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</w:tr>
      <w:tr w:rsidR="000A47FF" w:rsidRPr="000A47FF" w14:paraId="7315591D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EFC9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Marche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86C318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69B4BC4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5A76DC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32AFC1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0A47FF" w:rsidRPr="000A47FF" w14:paraId="76606DE7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08A32D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768AFB8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629EC6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15FEF7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873325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60</w:t>
            </w:r>
          </w:p>
        </w:tc>
      </w:tr>
      <w:tr w:rsidR="000A47FF" w:rsidRPr="000A47FF" w14:paraId="3D52B1B8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653FCF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Abruzzo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34DE30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E0A927A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6A2287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25F82FE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0A47FF" w:rsidRPr="000A47FF" w14:paraId="6A908582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78C2E7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Molise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BD9D05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E1A6AD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6811CF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6240C9F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</w:tr>
      <w:tr w:rsidR="000A47FF" w:rsidRPr="000A47FF" w14:paraId="373D88AB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5EAD55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Campania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C2C7F4D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21C9C9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EB1259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3CFC545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79</w:t>
            </w:r>
          </w:p>
        </w:tc>
      </w:tr>
      <w:tr w:rsidR="000A47FF" w:rsidRPr="000A47FF" w14:paraId="0FE3F675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B0DEE3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Puglia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263915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0CB9F8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EB2FD1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3A4447B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</w:t>
            </w:r>
          </w:p>
        </w:tc>
      </w:tr>
      <w:tr w:rsidR="000A47FF" w:rsidRPr="000A47FF" w14:paraId="7E50C4D1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729CD4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Basilicata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42F73EF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23679C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EEB3D3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4197F9A3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</w:tr>
      <w:tr w:rsidR="000A47FF" w:rsidRPr="000A47FF" w14:paraId="402FBF42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9B87A0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8AEEF2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A195F8C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0A733011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0007A41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</w:tr>
      <w:tr w:rsidR="000A47FF" w:rsidRPr="000A47FF" w14:paraId="19A2328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90ED7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Sicilia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64AF04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33F080A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2C85562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1245C4F9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</w:tr>
      <w:tr w:rsidR="000A47FF" w:rsidRPr="000A47FF" w14:paraId="62BDF3AA" w14:textId="77777777" w:rsidTr="005A32A6">
        <w:trPr>
          <w:trHeight w:val="34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79A6CE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Sardegna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1C012267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72917CBE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  <w:hideMark/>
          </w:tcPr>
          <w:p w14:paraId="526B6F1F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14:paraId="7E92D9E4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</w:tr>
      <w:tr w:rsidR="000A47FF" w:rsidRPr="000A47FF" w14:paraId="50FC355B" w14:textId="77777777" w:rsidTr="005A32A6">
        <w:trPr>
          <w:trHeight w:val="340"/>
          <w:jc w:val="center"/>
        </w:trPr>
        <w:tc>
          <w:tcPr>
            <w:tcW w:w="1985" w:type="dxa"/>
            <w:tcBorders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C39BA11" w14:textId="77777777" w:rsidR="000A47FF" w:rsidRPr="000A47FF" w:rsidRDefault="000A47FF" w:rsidP="005A32A6">
            <w:pPr>
              <w:spacing w:after="0" w:line="240" w:lineRule="auto"/>
              <w:contextualSpacing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DA3FAF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6DE9E15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163</w:t>
            </w:r>
          </w:p>
        </w:tc>
        <w:tc>
          <w:tcPr>
            <w:tcW w:w="13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5635DC0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42" w:type="dxa"/>
            <w:tcBorders>
              <w:lef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0106B96" w14:textId="77777777" w:rsidR="000A47FF" w:rsidRPr="000A47FF" w:rsidRDefault="000A47FF" w:rsidP="005A32A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A47FF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566</w:t>
            </w:r>
          </w:p>
        </w:tc>
      </w:tr>
    </w:tbl>
    <w:p w14:paraId="379A0860" w14:textId="0C7FA32E" w:rsidR="006051D7" w:rsidRDefault="006051D7">
      <w:pPr>
        <w:rPr>
          <w:b/>
          <w:bCs/>
          <w:color w:val="00457D"/>
          <w:sz w:val="24"/>
          <w:szCs w:val="24"/>
          <w:u w:color="00457D"/>
        </w:rPr>
      </w:pPr>
    </w:p>
    <w:p w14:paraId="305F6BDF" w14:textId="2818F52C" w:rsidR="006051D7" w:rsidRDefault="006051D7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60825FCA" w14:textId="04A1BB2D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4B966B50" w14:textId="649FBE37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F51423C" w14:textId="77777777" w:rsidR="000A47FF" w:rsidRDefault="000A47FF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2BCECCC4" w14:textId="77777777" w:rsidR="008D257B" w:rsidRDefault="008D257B">
      <w:pPr>
        <w:rPr>
          <w:b/>
          <w:bCs/>
          <w:color w:val="00457D"/>
          <w:u w:color="00457D"/>
        </w:rPr>
      </w:pPr>
      <w:r>
        <w:rPr>
          <w:b/>
          <w:bCs/>
          <w:color w:val="00457D"/>
          <w:u w:color="00457D"/>
        </w:rPr>
        <w:br w:type="page"/>
      </w:r>
    </w:p>
    <w:p w14:paraId="48D69E8C" w14:textId="1DA70746" w:rsidR="006051D7" w:rsidRPr="00A06334" w:rsidRDefault="006051D7" w:rsidP="00A0633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lastRenderedPageBreak/>
        <w:t xml:space="preserve">Figura </w:t>
      </w:r>
      <w:r w:rsidR="00A06334" w:rsidRPr="00A06334">
        <w:rPr>
          <w:b/>
          <w:bCs/>
          <w:color w:val="00457D"/>
          <w:u w:color="00457D"/>
        </w:rPr>
        <w:t>1. Case della comunità da edificare e da ristrutturare</w:t>
      </w:r>
    </w:p>
    <w:p w14:paraId="4E5FE410" w14:textId="300A5AE4" w:rsidR="006051D7" w:rsidRDefault="00A06334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184DB133" wp14:editId="7793B93B">
            <wp:extent cx="5040000" cy="4235595"/>
            <wp:effectExtent l="0" t="0" r="8255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4E2265" w14:textId="2157CF54" w:rsidR="006051D7" w:rsidRPr="00A06334" w:rsidRDefault="006051D7" w:rsidP="006051D7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t xml:space="preserve">Figura </w:t>
      </w:r>
      <w:r w:rsidR="00A06334" w:rsidRPr="00A06334">
        <w:rPr>
          <w:b/>
          <w:bCs/>
          <w:color w:val="00457D"/>
          <w:u w:color="00457D"/>
        </w:rPr>
        <w:t>2</w:t>
      </w:r>
      <w:r w:rsidR="00A06334">
        <w:rPr>
          <w:b/>
          <w:bCs/>
          <w:color w:val="00457D"/>
          <w:u w:color="00457D"/>
        </w:rPr>
        <w:t xml:space="preserve">. </w:t>
      </w:r>
      <w:r w:rsidR="00A06334" w:rsidRPr="00A06334">
        <w:rPr>
          <w:b/>
          <w:bCs/>
          <w:color w:val="00457D"/>
          <w:u w:color="00457D"/>
        </w:rPr>
        <w:t>Centrali operative territoriali da edificare e che utilizzano spazi già esistenti</w:t>
      </w:r>
    </w:p>
    <w:p w14:paraId="5B1DBFC3" w14:textId="77777777" w:rsidR="00A06334" w:rsidRPr="005B7990" w:rsidRDefault="00A06334" w:rsidP="00A06334">
      <w:pPr>
        <w:spacing w:after="0" w:line="240" w:lineRule="auto"/>
        <w:jc w:val="center"/>
        <w:rPr>
          <w:rFonts w:ascii="Cambria" w:hAnsi="Cambria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3CF75DAA" wp14:editId="78D10C7C">
            <wp:extent cx="5040000" cy="4231529"/>
            <wp:effectExtent l="0" t="0" r="8255" b="0"/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F345F" w14:textId="4DD9103B" w:rsidR="00A06334" w:rsidRDefault="00A06334" w:rsidP="006051D7">
      <w:pPr>
        <w:spacing w:after="0" w:line="360" w:lineRule="auto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5D24F7B6" w14:textId="1E2C597E" w:rsidR="00A06334" w:rsidRPr="00A06334" w:rsidRDefault="00A06334" w:rsidP="00A06334">
      <w:pPr>
        <w:spacing w:after="0" w:line="360" w:lineRule="auto"/>
        <w:jc w:val="center"/>
        <w:rPr>
          <w:b/>
          <w:bCs/>
          <w:color w:val="00457D"/>
          <w:u w:color="00457D"/>
        </w:rPr>
      </w:pPr>
      <w:r w:rsidRPr="00A06334">
        <w:rPr>
          <w:b/>
          <w:bCs/>
          <w:color w:val="00457D"/>
          <w:u w:color="00457D"/>
        </w:rPr>
        <w:lastRenderedPageBreak/>
        <w:t>Figura 3. Ospedali di comunità da edificare e da riconvertire</w:t>
      </w:r>
    </w:p>
    <w:p w14:paraId="679DD563" w14:textId="2672091F" w:rsidR="00A06334" w:rsidRPr="00A06334" w:rsidRDefault="00A06334" w:rsidP="00A06334">
      <w:pPr>
        <w:spacing w:after="0" w:line="240" w:lineRule="auto"/>
        <w:jc w:val="center"/>
        <w:rPr>
          <w:rFonts w:ascii="Cambria" w:hAnsi="Cambria"/>
        </w:rPr>
      </w:pPr>
      <w:r w:rsidRPr="005B7990">
        <w:rPr>
          <w:rFonts w:ascii="Cambria" w:hAnsi="Cambria"/>
          <w:noProof/>
          <w:lang w:eastAsia="it-IT"/>
        </w:rPr>
        <w:drawing>
          <wp:inline distT="0" distB="0" distL="0" distR="0" wp14:anchorId="31E2CA96" wp14:editId="6482B8A7">
            <wp:extent cx="5040000" cy="4231529"/>
            <wp:effectExtent l="0" t="0" r="8255" b="0"/>
            <wp:docPr id="1025" name="Immagin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231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727868" w14:textId="75F3E967" w:rsidR="00871FE1" w:rsidRPr="00A10DFC" w:rsidRDefault="00871FE1" w:rsidP="00A10DFC">
      <w:pPr>
        <w:rPr>
          <w:b/>
          <w:bCs/>
          <w:color w:val="00457D"/>
          <w:sz w:val="24"/>
          <w:szCs w:val="24"/>
          <w:u w:color="00457D"/>
        </w:rPr>
      </w:pPr>
    </w:p>
    <w:sectPr w:rsidR="00871FE1" w:rsidRPr="00A10DFC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FF23" w14:textId="77777777" w:rsidR="00156285" w:rsidRDefault="00156285" w:rsidP="00ED0CFD">
      <w:pPr>
        <w:spacing w:after="0" w:line="240" w:lineRule="auto"/>
      </w:pPr>
      <w:r>
        <w:separator/>
      </w:r>
    </w:p>
  </w:endnote>
  <w:endnote w:type="continuationSeparator" w:id="0">
    <w:p w14:paraId="6304A092" w14:textId="77777777" w:rsidR="00156285" w:rsidRDefault="00156285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B076" w14:textId="77777777" w:rsidR="00156285" w:rsidRDefault="00156285" w:rsidP="00ED0CFD">
      <w:pPr>
        <w:spacing w:after="0" w:line="240" w:lineRule="auto"/>
      </w:pPr>
      <w:r>
        <w:separator/>
      </w:r>
    </w:p>
  </w:footnote>
  <w:footnote w:type="continuationSeparator" w:id="0">
    <w:p w14:paraId="2251896E" w14:textId="77777777" w:rsidR="00156285" w:rsidRDefault="00156285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A6F10"/>
    <w:multiLevelType w:val="hybridMultilevel"/>
    <w:tmpl w:val="1180DD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A3F0B"/>
    <w:multiLevelType w:val="multilevel"/>
    <w:tmpl w:val="A4642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457D"/>
        <w:sz w:val="20"/>
      </w:rPr>
    </w:lvl>
    <w:lvl w:ilvl="1">
      <w:numFmt w:val="bullet"/>
      <w:lvlText w:val="•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492829"/>
    <w:multiLevelType w:val="hybridMultilevel"/>
    <w:tmpl w:val="A9CA43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C09CE"/>
    <w:multiLevelType w:val="hybridMultilevel"/>
    <w:tmpl w:val="989C49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8684C"/>
    <w:multiLevelType w:val="hybridMultilevel"/>
    <w:tmpl w:val="E14CD5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D05463"/>
    <w:multiLevelType w:val="hybridMultilevel"/>
    <w:tmpl w:val="60E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32C9"/>
    <w:multiLevelType w:val="hybridMultilevel"/>
    <w:tmpl w:val="31CE2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19"/>
  </w:num>
  <w:num w:numId="4">
    <w:abstractNumId w:val="34"/>
  </w:num>
  <w:num w:numId="5">
    <w:abstractNumId w:val="21"/>
  </w:num>
  <w:num w:numId="6">
    <w:abstractNumId w:val="17"/>
  </w:num>
  <w:num w:numId="7">
    <w:abstractNumId w:val="28"/>
  </w:num>
  <w:num w:numId="8">
    <w:abstractNumId w:val="26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  <w:num w:numId="13">
    <w:abstractNumId w:val="23"/>
  </w:num>
  <w:num w:numId="14">
    <w:abstractNumId w:val="7"/>
  </w:num>
  <w:num w:numId="15">
    <w:abstractNumId w:val="22"/>
  </w:num>
  <w:num w:numId="16">
    <w:abstractNumId w:val="36"/>
  </w:num>
  <w:num w:numId="17">
    <w:abstractNumId w:val="20"/>
  </w:num>
  <w:num w:numId="18">
    <w:abstractNumId w:val="15"/>
  </w:num>
  <w:num w:numId="19">
    <w:abstractNumId w:val="32"/>
  </w:num>
  <w:num w:numId="20">
    <w:abstractNumId w:val="27"/>
  </w:num>
  <w:num w:numId="21">
    <w:abstractNumId w:val="6"/>
  </w:num>
  <w:num w:numId="22">
    <w:abstractNumId w:val="24"/>
  </w:num>
  <w:num w:numId="23">
    <w:abstractNumId w:val="16"/>
  </w:num>
  <w:num w:numId="24">
    <w:abstractNumId w:val="9"/>
  </w:num>
  <w:num w:numId="25">
    <w:abstractNumId w:val="3"/>
  </w:num>
  <w:num w:numId="26">
    <w:abstractNumId w:val="12"/>
  </w:num>
  <w:num w:numId="27">
    <w:abstractNumId w:val="35"/>
  </w:num>
  <w:num w:numId="28">
    <w:abstractNumId w:val="25"/>
  </w:num>
  <w:num w:numId="29">
    <w:abstractNumId w:val="0"/>
  </w:num>
  <w:num w:numId="30">
    <w:abstractNumId w:val="8"/>
  </w:num>
  <w:num w:numId="31">
    <w:abstractNumId w:val="37"/>
  </w:num>
  <w:num w:numId="32">
    <w:abstractNumId w:val="14"/>
  </w:num>
  <w:num w:numId="33">
    <w:abstractNumId w:val="2"/>
  </w:num>
  <w:num w:numId="34">
    <w:abstractNumId w:val="31"/>
  </w:num>
  <w:num w:numId="35">
    <w:abstractNumId w:val="30"/>
  </w:num>
  <w:num w:numId="36">
    <w:abstractNumId w:val="13"/>
  </w:num>
  <w:num w:numId="37">
    <w:abstractNumId w:val="29"/>
  </w:num>
  <w:num w:numId="38">
    <w:abstractNumId w:val="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073CA"/>
    <w:rsid w:val="00010498"/>
    <w:rsid w:val="0001114E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091F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0C28"/>
    <w:rsid w:val="00070D04"/>
    <w:rsid w:val="000715A9"/>
    <w:rsid w:val="00071F0A"/>
    <w:rsid w:val="00073870"/>
    <w:rsid w:val="00074788"/>
    <w:rsid w:val="000751C3"/>
    <w:rsid w:val="00075BA4"/>
    <w:rsid w:val="000767AE"/>
    <w:rsid w:val="00076A48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47FF"/>
    <w:rsid w:val="000A58EB"/>
    <w:rsid w:val="000A62A9"/>
    <w:rsid w:val="000A78E3"/>
    <w:rsid w:val="000A7B66"/>
    <w:rsid w:val="000A7EA1"/>
    <w:rsid w:val="000B07B0"/>
    <w:rsid w:val="000B10CE"/>
    <w:rsid w:val="000B15C0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C6F74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5ABF"/>
    <w:rsid w:val="000E6B01"/>
    <w:rsid w:val="000E7CC2"/>
    <w:rsid w:val="000F0BBD"/>
    <w:rsid w:val="000F10F8"/>
    <w:rsid w:val="000F1B54"/>
    <w:rsid w:val="000F1DE1"/>
    <w:rsid w:val="000F2AE1"/>
    <w:rsid w:val="000F39EF"/>
    <w:rsid w:val="000F5C0F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06B1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5838"/>
    <w:rsid w:val="00125C6A"/>
    <w:rsid w:val="001262A5"/>
    <w:rsid w:val="00126E63"/>
    <w:rsid w:val="00127A78"/>
    <w:rsid w:val="001317CF"/>
    <w:rsid w:val="00132082"/>
    <w:rsid w:val="00134C8C"/>
    <w:rsid w:val="00136F1C"/>
    <w:rsid w:val="001374E5"/>
    <w:rsid w:val="001412DC"/>
    <w:rsid w:val="0014334C"/>
    <w:rsid w:val="00143689"/>
    <w:rsid w:val="00144F94"/>
    <w:rsid w:val="001453D6"/>
    <w:rsid w:val="001458FE"/>
    <w:rsid w:val="001471AF"/>
    <w:rsid w:val="001504F4"/>
    <w:rsid w:val="00150EF3"/>
    <w:rsid w:val="00151D12"/>
    <w:rsid w:val="0015229D"/>
    <w:rsid w:val="001560D3"/>
    <w:rsid w:val="00156285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81DF1"/>
    <w:rsid w:val="00185966"/>
    <w:rsid w:val="00192B35"/>
    <w:rsid w:val="00192DAD"/>
    <w:rsid w:val="00192F75"/>
    <w:rsid w:val="00193C55"/>
    <w:rsid w:val="00193F19"/>
    <w:rsid w:val="00194C03"/>
    <w:rsid w:val="001A2449"/>
    <w:rsid w:val="001A2F98"/>
    <w:rsid w:val="001A3E0D"/>
    <w:rsid w:val="001A3E96"/>
    <w:rsid w:val="001A6181"/>
    <w:rsid w:val="001A7017"/>
    <w:rsid w:val="001A73CD"/>
    <w:rsid w:val="001A76F9"/>
    <w:rsid w:val="001B46A1"/>
    <w:rsid w:val="001B59E3"/>
    <w:rsid w:val="001C0EFC"/>
    <w:rsid w:val="001C51E2"/>
    <w:rsid w:val="001C5A39"/>
    <w:rsid w:val="001C7324"/>
    <w:rsid w:val="001D0114"/>
    <w:rsid w:val="001D0E41"/>
    <w:rsid w:val="001D153D"/>
    <w:rsid w:val="001D19F1"/>
    <w:rsid w:val="001D240E"/>
    <w:rsid w:val="001D2E25"/>
    <w:rsid w:val="001D38B9"/>
    <w:rsid w:val="001D3F96"/>
    <w:rsid w:val="001D4CE8"/>
    <w:rsid w:val="001D7259"/>
    <w:rsid w:val="001E0D38"/>
    <w:rsid w:val="001E42B9"/>
    <w:rsid w:val="001E53AB"/>
    <w:rsid w:val="001E5654"/>
    <w:rsid w:val="001E6902"/>
    <w:rsid w:val="001F1C35"/>
    <w:rsid w:val="001F20B8"/>
    <w:rsid w:val="0020092D"/>
    <w:rsid w:val="002020DB"/>
    <w:rsid w:val="00202A01"/>
    <w:rsid w:val="0020319A"/>
    <w:rsid w:val="0020435A"/>
    <w:rsid w:val="00206047"/>
    <w:rsid w:val="0020636A"/>
    <w:rsid w:val="002073BD"/>
    <w:rsid w:val="00207B90"/>
    <w:rsid w:val="00210158"/>
    <w:rsid w:val="00210584"/>
    <w:rsid w:val="0021155E"/>
    <w:rsid w:val="0021408F"/>
    <w:rsid w:val="0022389A"/>
    <w:rsid w:val="00223F01"/>
    <w:rsid w:val="00223F25"/>
    <w:rsid w:val="00224E88"/>
    <w:rsid w:val="0022532C"/>
    <w:rsid w:val="00231196"/>
    <w:rsid w:val="002319C0"/>
    <w:rsid w:val="00233A2C"/>
    <w:rsid w:val="00233EF5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2E47"/>
    <w:rsid w:val="002534BD"/>
    <w:rsid w:val="002551A1"/>
    <w:rsid w:val="002576D2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468B"/>
    <w:rsid w:val="00281907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3D0A"/>
    <w:rsid w:val="0029425C"/>
    <w:rsid w:val="00295866"/>
    <w:rsid w:val="00296F33"/>
    <w:rsid w:val="00297583"/>
    <w:rsid w:val="002A2034"/>
    <w:rsid w:val="002A3232"/>
    <w:rsid w:val="002A3622"/>
    <w:rsid w:val="002A41A8"/>
    <w:rsid w:val="002A5A93"/>
    <w:rsid w:val="002B0FB4"/>
    <w:rsid w:val="002B12E6"/>
    <w:rsid w:val="002B1329"/>
    <w:rsid w:val="002B57EE"/>
    <w:rsid w:val="002B63E5"/>
    <w:rsid w:val="002B7295"/>
    <w:rsid w:val="002B7C26"/>
    <w:rsid w:val="002B7F03"/>
    <w:rsid w:val="002C0B56"/>
    <w:rsid w:val="002C0B93"/>
    <w:rsid w:val="002C0F1B"/>
    <w:rsid w:val="002C11E2"/>
    <w:rsid w:val="002C22CC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C39"/>
    <w:rsid w:val="002D390F"/>
    <w:rsid w:val="002D4CBE"/>
    <w:rsid w:val="002D4D2D"/>
    <w:rsid w:val="002D513D"/>
    <w:rsid w:val="002D61E1"/>
    <w:rsid w:val="002D7409"/>
    <w:rsid w:val="002E2D66"/>
    <w:rsid w:val="002E33A2"/>
    <w:rsid w:val="002E3609"/>
    <w:rsid w:val="002E384A"/>
    <w:rsid w:val="002E5382"/>
    <w:rsid w:val="002E5E3C"/>
    <w:rsid w:val="002F07F4"/>
    <w:rsid w:val="002F2E6A"/>
    <w:rsid w:val="002F323D"/>
    <w:rsid w:val="002F605D"/>
    <w:rsid w:val="00300EF7"/>
    <w:rsid w:val="0030187D"/>
    <w:rsid w:val="00301A08"/>
    <w:rsid w:val="003029E5"/>
    <w:rsid w:val="0030437B"/>
    <w:rsid w:val="00305113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0E2"/>
    <w:rsid w:val="00321C3D"/>
    <w:rsid w:val="00322567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5E0B"/>
    <w:rsid w:val="0033752D"/>
    <w:rsid w:val="00341267"/>
    <w:rsid w:val="0034210D"/>
    <w:rsid w:val="0034291E"/>
    <w:rsid w:val="003456F8"/>
    <w:rsid w:val="00346324"/>
    <w:rsid w:val="0034685B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304D"/>
    <w:rsid w:val="003631B2"/>
    <w:rsid w:val="00363764"/>
    <w:rsid w:val="00363A22"/>
    <w:rsid w:val="00363BEB"/>
    <w:rsid w:val="0036462F"/>
    <w:rsid w:val="00364A2E"/>
    <w:rsid w:val="00367A4B"/>
    <w:rsid w:val="00372887"/>
    <w:rsid w:val="00373EDC"/>
    <w:rsid w:val="00374152"/>
    <w:rsid w:val="00374404"/>
    <w:rsid w:val="00375A29"/>
    <w:rsid w:val="00375C4D"/>
    <w:rsid w:val="00377841"/>
    <w:rsid w:val="00380A73"/>
    <w:rsid w:val="00382D34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9792C"/>
    <w:rsid w:val="003A13B4"/>
    <w:rsid w:val="003A35AF"/>
    <w:rsid w:val="003A47A3"/>
    <w:rsid w:val="003A72AE"/>
    <w:rsid w:val="003A7751"/>
    <w:rsid w:val="003B1262"/>
    <w:rsid w:val="003B4A8D"/>
    <w:rsid w:val="003B5D7A"/>
    <w:rsid w:val="003B72C4"/>
    <w:rsid w:val="003C1D40"/>
    <w:rsid w:val="003C276B"/>
    <w:rsid w:val="003C3908"/>
    <w:rsid w:val="003C3A13"/>
    <w:rsid w:val="003C48B6"/>
    <w:rsid w:val="003C7C89"/>
    <w:rsid w:val="003C7FD9"/>
    <w:rsid w:val="003D4318"/>
    <w:rsid w:val="003D46C1"/>
    <w:rsid w:val="003D4D70"/>
    <w:rsid w:val="003D542E"/>
    <w:rsid w:val="003D6200"/>
    <w:rsid w:val="003D66C8"/>
    <w:rsid w:val="003D6B2B"/>
    <w:rsid w:val="003D79C2"/>
    <w:rsid w:val="003D7D5D"/>
    <w:rsid w:val="003E0375"/>
    <w:rsid w:val="003E1CA7"/>
    <w:rsid w:val="003E2B21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32D5"/>
    <w:rsid w:val="004052B2"/>
    <w:rsid w:val="00405C0C"/>
    <w:rsid w:val="00405E87"/>
    <w:rsid w:val="00405FC1"/>
    <w:rsid w:val="00406F3A"/>
    <w:rsid w:val="00410B6F"/>
    <w:rsid w:val="00412253"/>
    <w:rsid w:val="00413ABB"/>
    <w:rsid w:val="00415770"/>
    <w:rsid w:val="00415FC6"/>
    <w:rsid w:val="00416528"/>
    <w:rsid w:val="004179EB"/>
    <w:rsid w:val="00417D4C"/>
    <w:rsid w:val="00421292"/>
    <w:rsid w:val="004261F6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2FE4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4BB5"/>
    <w:rsid w:val="00485168"/>
    <w:rsid w:val="004851ED"/>
    <w:rsid w:val="0048588A"/>
    <w:rsid w:val="004859D0"/>
    <w:rsid w:val="00490397"/>
    <w:rsid w:val="00490692"/>
    <w:rsid w:val="00492663"/>
    <w:rsid w:val="0049307B"/>
    <w:rsid w:val="00494894"/>
    <w:rsid w:val="004952D7"/>
    <w:rsid w:val="00495F6A"/>
    <w:rsid w:val="00496108"/>
    <w:rsid w:val="00496192"/>
    <w:rsid w:val="00496EAF"/>
    <w:rsid w:val="00497373"/>
    <w:rsid w:val="00497B08"/>
    <w:rsid w:val="004A0830"/>
    <w:rsid w:val="004A0E05"/>
    <w:rsid w:val="004A11C7"/>
    <w:rsid w:val="004A18D7"/>
    <w:rsid w:val="004A1B26"/>
    <w:rsid w:val="004A4A80"/>
    <w:rsid w:val="004A5489"/>
    <w:rsid w:val="004B0720"/>
    <w:rsid w:val="004B6616"/>
    <w:rsid w:val="004B7AD5"/>
    <w:rsid w:val="004C0F3F"/>
    <w:rsid w:val="004C17CB"/>
    <w:rsid w:val="004C420E"/>
    <w:rsid w:val="004C73A9"/>
    <w:rsid w:val="004C7929"/>
    <w:rsid w:val="004D0248"/>
    <w:rsid w:val="004D0B47"/>
    <w:rsid w:val="004D0BDF"/>
    <w:rsid w:val="004D2424"/>
    <w:rsid w:val="004D3A0B"/>
    <w:rsid w:val="004D469E"/>
    <w:rsid w:val="004D4B67"/>
    <w:rsid w:val="004D5182"/>
    <w:rsid w:val="004E1BE7"/>
    <w:rsid w:val="004E23F3"/>
    <w:rsid w:val="004E2A6E"/>
    <w:rsid w:val="004E3405"/>
    <w:rsid w:val="004E3A57"/>
    <w:rsid w:val="004E4BBD"/>
    <w:rsid w:val="004E5018"/>
    <w:rsid w:val="004E5200"/>
    <w:rsid w:val="004E5EFE"/>
    <w:rsid w:val="004E6B64"/>
    <w:rsid w:val="004F064A"/>
    <w:rsid w:val="004F0FD3"/>
    <w:rsid w:val="004F33C5"/>
    <w:rsid w:val="004F3422"/>
    <w:rsid w:val="004F3FEB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346"/>
    <w:rsid w:val="00560786"/>
    <w:rsid w:val="00562598"/>
    <w:rsid w:val="0056268F"/>
    <w:rsid w:val="00562BE0"/>
    <w:rsid w:val="00565AC5"/>
    <w:rsid w:val="00565C3C"/>
    <w:rsid w:val="00566963"/>
    <w:rsid w:val="00566974"/>
    <w:rsid w:val="005673CC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1465"/>
    <w:rsid w:val="00584471"/>
    <w:rsid w:val="00586657"/>
    <w:rsid w:val="00586FDE"/>
    <w:rsid w:val="00587B6A"/>
    <w:rsid w:val="00587C9B"/>
    <w:rsid w:val="00587F5D"/>
    <w:rsid w:val="00590E5A"/>
    <w:rsid w:val="005939D9"/>
    <w:rsid w:val="005940D1"/>
    <w:rsid w:val="00594E34"/>
    <w:rsid w:val="00596B3D"/>
    <w:rsid w:val="005A00F1"/>
    <w:rsid w:val="005A2279"/>
    <w:rsid w:val="005A2BB7"/>
    <w:rsid w:val="005A32A6"/>
    <w:rsid w:val="005A3A8D"/>
    <w:rsid w:val="005A4ADA"/>
    <w:rsid w:val="005A6F2F"/>
    <w:rsid w:val="005B24AF"/>
    <w:rsid w:val="005B283E"/>
    <w:rsid w:val="005B3A18"/>
    <w:rsid w:val="005B41AA"/>
    <w:rsid w:val="005B4F61"/>
    <w:rsid w:val="005B5666"/>
    <w:rsid w:val="005B57EF"/>
    <w:rsid w:val="005B6DF8"/>
    <w:rsid w:val="005C0524"/>
    <w:rsid w:val="005C087B"/>
    <w:rsid w:val="005C0C5C"/>
    <w:rsid w:val="005C2A99"/>
    <w:rsid w:val="005C5968"/>
    <w:rsid w:val="005C7707"/>
    <w:rsid w:val="005D0BFE"/>
    <w:rsid w:val="005D133C"/>
    <w:rsid w:val="005D14A0"/>
    <w:rsid w:val="005D2F33"/>
    <w:rsid w:val="005D33D4"/>
    <w:rsid w:val="005D5CF2"/>
    <w:rsid w:val="005D7FCA"/>
    <w:rsid w:val="005E1232"/>
    <w:rsid w:val="005E37DA"/>
    <w:rsid w:val="005E40BB"/>
    <w:rsid w:val="005E485F"/>
    <w:rsid w:val="005F0FD7"/>
    <w:rsid w:val="005F1EC4"/>
    <w:rsid w:val="005F2D68"/>
    <w:rsid w:val="005F3758"/>
    <w:rsid w:val="005F71F9"/>
    <w:rsid w:val="006002AA"/>
    <w:rsid w:val="006051D7"/>
    <w:rsid w:val="00611A35"/>
    <w:rsid w:val="00611C67"/>
    <w:rsid w:val="0061308C"/>
    <w:rsid w:val="00614076"/>
    <w:rsid w:val="00614368"/>
    <w:rsid w:val="00614E5A"/>
    <w:rsid w:val="00616235"/>
    <w:rsid w:val="0061690D"/>
    <w:rsid w:val="00620244"/>
    <w:rsid w:val="00620B8A"/>
    <w:rsid w:val="006226EB"/>
    <w:rsid w:val="0062275E"/>
    <w:rsid w:val="0062395A"/>
    <w:rsid w:val="00623F97"/>
    <w:rsid w:val="0062499E"/>
    <w:rsid w:val="00624F00"/>
    <w:rsid w:val="0062554E"/>
    <w:rsid w:val="00630057"/>
    <w:rsid w:val="00630230"/>
    <w:rsid w:val="00631233"/>
    <w:rsid w:val="0063197E"/>
    <w:rsid w:val="00632DC1"/>
    <w:rsid w:val="00635809"/>
    <w:rsid w:val="00636EB6"/>
    <w:rsid w:val="00637A6B"/>
    <w:rsid w:val="00640B8B"/>
    <w:rsid w:val="00640FE7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00BA"/>
    <w:rsid w:val="0066093C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21E3"/>
    <w:rsid w:val="00682E8F"/>
    <w:rsid w:val="00685DB6"/>
    <w:rsid w:val="006862EF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3B3E"/>
    <w:rsid w:val="006A4CFB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2667"/>
    <w:rsid w:val="006C3B4B"/>
    <w:rsid w:val="006C41FF"/>
    <w:rsid w:val="006C4E62"/>
    <w:rsid w:val="006C5B37"/>
    <w:rsid w:val="006D1496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5398"/>
    <w:rsid w:val="006E6CC2"/>
    <w:rsid w:val="006E77BB"/>
    <w:rsid w:val="006F5C05"/>
    <w:rsid w:val="006F5E1D"/>
    <w:rsid w:val="006F6ADA"/>
    <w:rsid w:val="006F7069"/>
    <w:rsid w:val="006F707F"/>
    <w:rsid w:val="00701873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3CA3"/>
    <w:rsid w:val="0071439B"/>
    <w:rsid w:val="0072122E"/>
    <w:rsid w:val="00723B85"/>
    <w:rsid w:val="00725232"/>
    <w:rsid w:val="007254CF"/>
    <w:rsid w:val="007257B8"/>
    <w:rsid w:val="007265A4"/>
    <w:rsid w:val="00727A83"/>
    <w:rsid w:val="0073042B"/>
    <w:rsid w:val="00730A03"/>
    <w:rsid w:val="0073174A"/>
    <w:rsid w:val="007333BE"/>
    <w:rsid w:val="0073343B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17A9"/>
    <w:rsid w:val="0076189A"/>
    <w:rsid w:val="00763FB0"/>
    <w:rsid w:val="007644E5"/>
    <w:rsid w:val="00765150"/>
    <w:rsid w:val="00766121"/>
    <w:rsid w:val="00770D2D"/>
    <w:rsid w:val="00770D5D"/>
    <w:rsid w:val="00772C0B"/>
    <w:rsid w:val="007738D0"/>
    <w:rsid w:val="00773EC0"/>
    <w:rsid w:val="00774DA4"/>
    <w:rsid w:val="00774E33"/>
    <w:rsid w:val="0077567A"/>
    <w:rsid w:val="00775B12"/>
    <w:rsid w:val="00775DA1"/>
    <w:rsid w:val="00777045"/>
    <w:rsid w:val="00777690"/>
    <w:rsid w:val="007777BD"/>
    <w:rsid w:val="00777FA9"/>
    <w:rsid w:val="00780533"/>
    <w:rsid w:val="00782061"/>
    <w:rsid w:val="00783A0B"/>
    <w:rsid w:val="00783E8C"/>
    <w:rsid w:val="00784DD0"/>
    <w:rsid w:val="00785290"/>
    <w:rsid w:val="007862F7"/>
    <w:rsid w:val="0078737D"/>
    <w:rsid w:val="00790464"/>
    <w:rsid w:val="007912F9"/>
    <w:rsid w:val="00791D81"/>
    <w:rsid w:val="007939B6"/>
    <w:rsid w:val="00793D62"/>
    <w:rsid w:val="0079427C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4D63"/>
    <w:rsid w:val="007C5420"/>
    <w:rsid w:val="007C582F"/>
    <w:rsid w:val="007C607D"/>
    <w:rsid w:val="007C6E19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242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27A4"/>
    <w:rsid w:val="00803C62"/>
    <w:rsid w:val="00806EC8"/>
    <w:rsid w:val="00814CE9"/>
    <w:rsid w:val="00815161"/>
    <w:rsid w:val="00815D21"/>
    <w:rsid w:val="00815D37"/>
    <w:rsid w:val="00815D73"/>
    <w:rsid w:val="00816F1F"/>
    <w:rsid w:val="008176D9"/>
    <w:rsid w:val="00820BE1"/>
    <w:rsid w:val="00822919"/>
    <w:rsid w:val="00825BCB"/>
    <w:rsid w:val="00825CE6"/>
    <w:rsid w:val="0082609D"/>
    <w:rsid w:val="008270A6"/>
    <w:rsid w:val="00827BB7"/>
    <w:rsid w:val="008307CF"/>
    <w:rsid w:val="008310C2"/>
    <w:rsid w:val="0083166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3951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0D3"/>
    <w:rsid w:val="00861853"/>
    <w:rsid w:val="00862746"/>
    <w:rsid w:val="008638C5"/>
    <w:rsid w:val="00864335"/>
    <w:rsid w:val="00867AEB"/>
    <w:rsid w:val="00871FE1"/>
    <w:rsid w:val="00876C2C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4CBF"/>
    <w:rsid w:val="00884F48"/>
    <w:rsid w:val="00886263"/>
    <w:rsid w:val="00890070"/>
    <w:rsid w:val="00890405"/>
    <w:rsid w:val="008907F0"/>
    <w:rsid w:val="00890B27"/>
    <w:rsid w:val="008920DC"/>
    <w:rsid w:val="008927EE"/>
    <w:rsid w:val="00892826"/>
    <w:rsid w:val="008956D1"/>
    <w:rsid w:val="008957EF"/>
    <w:rsid w:val="00895BB6"/>
    <w:rsid w:val="0089700B"/>
    <w:rsid w:val="008972B2"/>
    <w:rsid w:val="008976A1"/>
    <w:rsid w:val="00897CA1"/>
    <w:rsid w:val="008A0E25"/>
    <w:rsid w:val="008A1766"/>
    <w:rsid w:val="008A1D53"/>
    <w:rsid w:val="008A7A9B"/>
    <w:rsid w:val="008A7CDD"/>
    <w:rsid w:val="008B1750"/>
    <w:rsid w:val="008B2BA7"/>
    <w:rsid w:val="008B2BDC"/>
    <w:rsid w:val="008B3494"/>
    <w:rsid w:val="008B4A35"/>
    <w:rsid w:val="008B5FC3"/>
    <w:rsid w:val="008B60AF"/>
    <w:rsid w:val="008B7022"/>
    <w:rsid w:val="008C0A82"/>
    <w:rsid w:val="008C4980"/>
    <w:rsid w:val="008C5798"/>
    <w:rsid w:val="008C61D8"/>
    <w:rsid w:val="008D257B"/>
    <w:rsid w:val="008D2BDD"/>
    <w:rsid w:val="008D33F8"/>
    <w:rsid w:val="008D4BC6"/>
    <w:rsid w:val="008E190A"/>
    <w:rsid w:val="008E2DB0"/>
    <w:rsid w:val="008E4AD4"/>
    <w:rsid w:val="008E70BF"/>
    <w:rsid w:val="008F1906"/>
    <w:rsid w:val="008F1F12"/>
    <w:rsid w:val="008F2550"/>
    <w:rsid w:val="008F2E54"/>
    <w:rsid w:val="008F43E5"/>
    <w:rsid w:val="008F5A3B"/>
    <w:rsid w:val="008F6975"/>
    <w:rsid w:val="008F72C4"/>
    <w:rsid w:val="008F7EF5"/>
    <w:rsid w:val="00900A5F"/>
    <w:rsid w:val="00902108"/>
    <w:rsid w:val="00902865"/>
    <w:rsid w:val="009030D3"/>
    <w:rsid w:val="0090415F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2ACE"/>
    <w:rsid w:val="00924122"/>
    <w:rsid w:val="009241E0"/>
    <w:rsid w:val="00924D7D"/>
    <w:rsid w:val="00927747"/>
    <w:rsid w:val="00927D6F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4E22"/>
    <w:rsid w:val="00947084"/>
    <w:rsid w:val="00947FBD"/>
    <w:rsid w:val="00950F90"/>
    <w:rsid w:val="00953E98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01EE"/>
    <w:rsid w:val="0097162D"/>
    <w:rsid w:val="009721C4"/>
    <w:rsid w:val="009722DB"/>
    <w:rsid w:val="0097272E"/>
    <w:rsid w:val="00973B94"/>
    <w:rsid w:val="00976F80"/>
    <w:rsid w:val="00977B89"/>
    <w:rsid w:val="009805F2"/>
    <w:rsid w:val="00984C33"/>
    <w:rsid w:val="00984E46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995"/>
    <w:rsid w:val="009B7FE4"/>
    <w:rsid w:val="009C005C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A004B0"/>
    <w:rsid w:val="00A03C51"/>
    <w:rsid w:val="00A04007"/>
    <w:rsid w:val="00A04E54"/>
    <w:rsid w:val="00A061EB"/>
    <w:rsid w:val="00A06334"/>
    <w:rsid w:val="00A0698F"/>
    <w:rsid w:val="00A10DFC"/>
    <w:rsid w:val="00A113DF"/>
    <w:rsid w:val="00A12E53"/>
    <w:rsid w:val="00A13DFC"/>
    <w:rsid w:val="00A16B16"/>
    <w:rsid w:val="00A17979"/>
    <w:rsid w:val="00A223B1"/>
    <w:rsid w:val="00A23478"/>
    <w:rsid w:val="00A23E03"/>
    <w:rsid w:val="00A24493"/>
    <w:rsid w:val="00A25176"/>
    <w:rsid w:val="00A26267"/>
    <w:rsid w:val="00A269CF"/>
    <w:rsid w:val="00A30AE9"/>
    <w:rsid w:val="00A30F0F"/>
    <w:rsid w:val="00A31C2C"/>
    <w:rsid w:val="00A356B3"/>
    <w:rsid w:val="00A35813"/>
    <w:rsid w:val="00A364A1"/>
    <w:rsid w:val="00A36649"/>
    <w:rsid w:val="00A36D32"/>
    <w:rsid w:val="00A36E5F"/>
    <w:rsid w:val="00A401BC"/>
    <w:rsid w:val="00A40F25"/>
    <w:rsid w:val="00A423A7"/>
    <w:rsid w:val="00A430EB"/>
    <w:rsid w:val="00A44F7D"/>
    <w:rsid w:val="00A54C2F"/>
    <w:rsid w:val="00A60FC8"/>
    <w:rsid w:val="00A6177F"/>
    <w:rsid w:val="00A61A79"/>
    <w:rsid w:val="00A63606"/>
    <w:rsid w:val="00A64AD2"/>
    <w:rsid w:val="00A64D76"/>
    <w:rsid w:val="00A650B3"/>
    <w:rsid w:val="00A65B9D"/>
    <w:rsid w:val="00A66062"/>
    <w:rsid w:val="00A66317"/>
    <w:rsid w:val="00A66328"/>
    <w:rsid w:val="00A66E9E"/>
    <w:rsid w:val="00A710F1"/>
    <w:rsid w:val="00A71D3F"/>
    <w:rsid w:val="00A71FF1"/>
    <w:rsid w:val="00A7213D"/>
    <w:rsid w:val="00A76386"/>
    <w:rsid w:val="00A77136"/>
    <w:rsid w:val="00A7781C"/>
    <w:rsid w:val="00A84F3D"/>
    <w:rsid w:val="00A86DA7"/>
    <w:rsid w:val="00A90AD0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5FE0"/>
    <w:rsid w:val="00AA6191"/>
    <w:rsid w:val="00AA65EF"/>
    <w:rsid w:val="00AA787F"/>
    <w:rsid w:val="00AB07C4"/>
    <w:rsid w:val="00AB0FBF"/>
    <w:rsid w:val="00AB3272"/>
    <w:rsid w:val="00AB5A9E"/>
    <w:rsid w:val="00AB5BA1"/>
    <w:rsid w:val="00AB6942"/>
    <w:rsid w:val="00AB7331"/>
    <w:rsid w:val="00AC056B"/>
    <w:rsid w:val="00AC0C82"/>
    <w:rsid w:val="00AC18D7"/>
    <w:rsid w:val="00AC2611"/>
    <w:rsid w:val="00AC2E6A"/>
    <w:rsid w:val="00AC3E12"/>
    <w:rsid w:val="00AC44EB"/>
    <w:rsid w:val="00AC71A6"/>
    <w:rsid w:val="00AD02EC"/>
    <w:rsid w:val="00AD05A6"/>
    <w:rsid w:val="00AD3292"/>
    <w:rsid w:val="00AD388F"/>
    <w:rsid w:val="00AD436F"/>
    <w:rsid w:val="00AD7473"/>
    <w:rsid w:val="00AE0854"/>
    <w:rsid w:val="00AE0F77"/>
    <w:rsid w:val="00AE1EFF"/>
    <w:rsid w:val="00AE2657"/>
    <w:rsid w:val="00AE4C5E"/>
    <w:rsid w:val="00AE52B8"/>
    <w:rsid w:val="00AE53E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51E"/>
    <w:rsid w:val="00AF7F4A"/>
    <w:rsid w:val="00B00632"/>
    <w:rsid w:val="00B01528"/>
    <w:rsid w:val="00B01A0B"/>
    <w:rsid w:val="00B03791"/>
    <w:rsid w:val="00B03F2D"/>
    <w:rsid w:val="00B047F1"/>
    <w:rsid w:val="00B051CC"/>
    <w:rsid w:val="00B05237"/>
    <w:rsid w:val="00B0532A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708"/>
    <w:rsid w:val="00B34F7E"/>
    <w:rsid w:val="00B35085"/>
    <w:rsid w:val="00B365C9"/>
    <w:rsid w:val="00B3783E"/>
    <w:rsid w:val="00B43BAA"/>
    <w:rsid w:val="00B44A32"/>
    <w:rsid w:val="00B45C2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2BA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1482"/>
    <w:rsid w:val="00B81FBF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57B7"/>
    <w:rsid w:val="00B96704"/>
    <w:rsid w:val="00B96E93"/>
    <w:rsid w:val="00B971AE"/>
    <w:rsid w:val="00B97AE8"/>
    <w:rsid w:val="00BA2289"/>
    <w:rsid w:val="00BA3745"/>
    <w:rsid w:val="00BA783E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2C2E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3F2C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24B1"/>
    <w:rsid w:val="00C032E9"/>
    <w:rsid w:val="00C03950"/>
    <w:rsid w:val="00C04E50"/>
    <w:rsid w:val="00C053AA"/>
    <w:rsid w:val="00C05572"/>
    <w:rsid w:val="00C055DB"/>
    <w:rsid w:val="00C10CA2"/>
    <w:rsid w:val="00C10E6A"/>
    <w:rsid w:val="00C1154C"/>
    <w:rsid w:val="00C11CA8"/>
    <w:rsid w:val="00C1279D"/>
    <w:rsid w:val="00C16581"/>
    <w:rsid w:val="00C17B97"/>
    <w:rsid w:val="00C20338"/>
    <w:rsid w:val="00C2114D"/>
    <w:rsid w:val="00C214E5"/>
    <w:rsid w:val="00C24B34"/>
    <w:rsid w:val="00C24F8E"/>
    <w:rsid w:val="00C27666"/>
    <w:rsid w:val="00C276B1"/>
    <w:rsid w:val="00C308AD"/>
    <w:rsid w:val="00C31091"/>
    <w:rsid w:val="00C32280"/>
    <w:rsid w:val="00C33673"/>
    <w:rsid w:val="00C342E0"/>
    <w:rsid w:val="00C343BD"/>
    <w:rsid w:val="00C3561A"/>
    <w:rsid w:val="00C36730"/>
    <w:rsid w:val="00C3716E"/>
    <w:rsid w:val="00C374D4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318"/>
    <w:rsid w:val="00C56687"/>
    <w:rsid w:val="00C56F97"/>
    <w:rsid w:val="00C571FB"/>
    <w:rsid w:val="00C577A9"/>
    <w:rsid w:val="00C60D99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0BD3"/>
    <w:rsid w:val="00C8337E"/>
    <w:rsid w:val="00C83CDE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2C8"/>
    <w:rsid w:val="00C97A89"/>
    <w:rsid w:val="00CA492E"/>
    <w:rsid w:val="00CA4C09"/>
    <w:rsid w:val="00CA4FA9"/>
    <w:rsid w:val="00CA61C6"/>
    <w:rsid w:val="00CA6716"/>
    <w:rsid w:val="00CA6DEF"/>
    <w:rsid w:val="00CA74CA"/>
    <w:rsid w:val="00CB09A1"/>
    <w:rsid w:val="00CB146D"/>
    <w:rsid w:val="00CB2567"/>
    <w:rsid w:val="00CB3F35"/>
    <w:rsid w:val="00CB4D1B"/>
    <w:rsid w:val="00CB79A7"/>
    <w:rsid w:val="00CC1780"/>
    <w:rsid w:val="00CC3536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61C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3662"/>
    <w:rsid w:val="00D45208"/>
    <w:rsid w:val="00D45568"/>
    <w:rsid w:val="00D51C6E"/>
    <w:rsid w:val="00D51D87"/>
    <w:rsid w:val="00D52DAF"/>
    <w:rsid w:val="00D53CE2"/>
    <w:rsid w:val="00D543F3"/>
    <w:rsid w:val="00D609E5"/>
    <w:rsid w:val="00D636FC"/>
    <w:rsid w:val="00D651BC"/>
    <w:rsid w:val="00D66971"/>
    <w:rsid w:val="00D67E83"/>
    <w:rsid w:val="00D708B7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E51"/>
    <w:rsid w:val="00D83FB6"/>
    <w:rsid w:val="00D90217"/>
    <w:rsid w:val="00D9048E"/>
    <w:rsid w:val="00D91F7D"/>
    <w:rsid w:val="00D92A5F"/>
    <w:rsid w:val="00D95224"/>
    <w:rsid w:val="00D95989"/>
    <w:rsid w:val="00D96184"/>
    <w:rsid w:val="00D96C89"/>
    <w:rsid w:val="00D97320"/>
    <w:rsid w:val="00DA1D51"/>
    <w:rsid w:val="00DA52E8"/>
    <w:rsid w:val="00DA6836"/>
    <w:rsid w:val="00DA6C57"/>
    <w:rsid w:val="00DB4817"/>
    <w:rsid w:val="00DB4CF9"/>
    <w:rsid w:val="00DC2A0C"/>
    <w:rsid w:val="00DC54A4"/>
    <w:rsid w:val="00DD2C65"/>
    <w:rsid w:val="00DD491D"/>
    <w:rsid w:val="00DD593A"/>
    <w:rsid w:val="00DD7BB6"/>
    <w:rsid w:val="00DE1FE9"/>
    <w:rsid w:val="00DE23F2"/>
    <w:rsid w:val="00DE3558"/>
    <w:rsid w:val="00DE38A1"/>
    <w:rsid w:val="00DE4B32"/>
    <w:rsid w:val="00DE5012"/>
    <w:rsid w:val="00DE591C"/>
    <w:rsid w:val="00DE68E0"/>
    <w:rsid w:val="00DE6AEA"/>
    <w:rsid w:val="00DF20F8"/>
    <w:rsid w:val="00DF274C"/>
    <w:rsid w:val="00DF2811"/>
    <w:rsid w:val="00DF2AF5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42A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DBD"/>
    <w:rsid w:val="00E34AAD"/>
    <w:rsid w:val="00E34C91"/>
    <w:rsid w:val="00E356CB"/>
    <w:rsid w:val="00E364D8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0B8E"/>
    <w:rsid w:val="00E50FBC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674FB"/>
    <w:rsid w:val="00E70586"/>
    <w:rsid w:val="00E73406"/>
    <w:rsid w:val="00E74DD3"/>
    <w:rsid w:val="00E75B91"/>
    <w:rsid w:val="00E7625C"/>
    <w:rsid w:val="00E76BC5"/>
    <w:rsid w:val="00E7781F"/>
    <w:rsid w:val="00E810FE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0984"/>
    <w:rsid w:val="00EA3C71"/>
    <w:rsid w:val="00EA50DE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E91"/>
    <w:rsid w:val="00EC3A18"/>
    <w:rsid w:val="00EC5217"/>
    <w:rsid w:val="00EC55CB"/>
    <w:rsid w:val="00EC5C09"/>
    <w:rsid w:val="00EC7A99"/>
    <w:rsid w:val="00ED073D"/>
    <w:rsid w:val="00ED0CFD"/>
    <w:rsid w:val="00ED0ED7"/>
    <w:rsid w:val="00ED26C2"/>
    <w:rsid w:val="00ED28E0"/>
    <w:rsid w:val="00ED6E07"/>
    <w:rsid w:val="00ED7EDF"/>
    <w:rsid w:val="00EE0DDE"/>
    <w:rsid w:val="00EE298B"/>
    <w:rsid w:val="00EE47A2"/>
    <w:rsid w:val="00EE622A"/>
    <w:rsid w:val="00EE6DB9"/>
    <w:rsid w:val="00EF21E1"/>
    <w:rsid w:val="00EF25DD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3D85"/>
    <w:rsid w:val="00F16B41"/>
    <w:rsid w:val="00F171ED"/>
    <w:rsid w:val="00F17700"/>
    <w:rsid w:val="00F20788"/>
    <w:rsid w:val="00F214DB"/>
    <w:rsid w:val="00F22502"/>
    <w:rsid w:val="00F23466"/>
    <w:rsid w:val="00F2429D"/>
    <w:rsid w:val="00F24571"/>
    <w:rsid w:val="00F245C8"/>
    <w:rsid w:val="00F275D7"/>
    <w:rsid w:val="00F27B66"/>
    <w:rsid w:val="00F306A2"/>
    <w:rsid w:val="00F320EE"/>
    <w:rsid w:val="00F32CF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57E9"/>
    <w:rsid w:val="00F57E33"/>
    <w:rsid w:val="00F61E47"/>
    <w:rsid w:val="00F61E7A"/>
    <w:rsid w:val="00F6436F"/>
    <w:rsid w:val="00F6596E"/>
    <w:rsid w:val="00F6679F"/>
    <w:rsid w:val="00F67CAA"/>
    <w:rsid w:val="00F71E30"/>
    <w:rsid w:val="00F71EC0"/>
    <w:rsid w:val="00F72F47"/>
    <w:rsid w:val="00F81CAF"/>
    <w:rsid w:val="00F82346"/>
    <w:rsid w:val="00F82796"/>
    <w:rsid w:val="00F83A61"/>
    <w:rsid w:val="00F86243"/>
    <w:rsid w:val="00F8782A"/>
    <w:rsid w:val="00F87942"/>
    <w:rsid w:val="00F90904"/>
    <w:rsid w:val="00F90CCE"/>
    <w:rsid w:val="00F9162E"/>
    <w:rsid w:val="00F9236A"/>
    <w:rsid w:val="00F929D1"/>
    <w:rsid w:val="00F948AD"/>
    <w:rsid w:val="00F9748F"/>
    <w:rsid w:val="00F979A8"/>
    <w:rsid w:val="00F97E31"/>
    <w:rsid w:val="00FA028D"/>
    <w:rsid w:val="00FA078D"/>
    <w:rsid w:val="00FA1442"/>
    <w:rsid w:val="00FA1696"/>
    <w:rsid w:val="00FA1D06"/>
    <w:rsid w:val="00FA4086"/>
    <w:rsid w:val="00FA68F1"/>
    <w:rsid w:val="00FA6B98"/>
    <w:rsid w:val="00FA6CD2"/>
    <w:rsid w:val="00FB028A"/>
    <w:rsid w:val="00FB18B5"/>
    <w:rsid w:val="00FB1C7E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0D5E"/>
    <w:rsid w:val="00FD1399"/>
    <w:rsid w:val="00FD146A"/>
    <w:rsid w:val="00FD1594"/>
    <w:rsid w:val="00FD1B57"/>
    <w:rsid w:val="00FD1DDA"/>
    <w:rsid w:val="00FD45BD"/>
    <w:rsid w:val="00FD47E8"/>
    <w:rsid w:val="00FD4B4C"/>
    <w:rsid w:val="00FD5432"/>
    <w:rsid w:val="00FD63E4"/>
    <w:rsid w:val="00FD710E"/>
    <w:rsid w:val="00FE00CB"/>
    <w:rsid w:val="00FE09E6"/>
    <w:rsid w:val="00FE24BA"/>
    <w:rsid w:val="00FE277E"/>
    <w:rsid w:val="00FE38BE"/>
    <w:rsid w:val="00FE5B99"/>
    <w:rsid w:val="00FE60DD"/>
    <w:rsid w:val="00FE63F6"/>
    <w:rsid w:val="00FE7C89"/>
    <w:rsid w:val="00FF4296"/>
    <w:rsid w:val="00FF4DD0"/>
    <w:rsid w:val="00FF5229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4E2EF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3D85"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B07C4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007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as.gov.it/images/2023/primo-piano/monitoraggio-dm77/Monitoraggio_DM_77_sintesi_fase_2_v2__finale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fficio.stampa@gimb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ioni.it/download/conferenze/655871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governo.it/it/articolo/pnrr-concluse-le-sei-sessioni-della-cabina-di-regia/23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cheeuropee.gov.it/it/ministro/comunicati-stampa/27-lug-23-pnrr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CC639-BBD8-405A-916D-5ABA3143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Roberto Luceri</cp:lastModifiedBy>
  <cp:revision>18</cp:revision>
  <cp:lastPrinted>2014-01-27T14:53:00Z</cp:lastPrinted>
  <dcterms:created xsi:type="dcterms:W3CDTF">2023-10-30T12:25:00Z</dcterms:created>
  <dcterms:modified xsi:type="dcterms:W3CDTF">2024-01-30T09:15:00Z</dcterms:modified>
</cp:coreProperties>
</file>