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18C96" w14:textId="020F1966" w:rsidR="002C3F24" w:rsidRDefault="002C3F24" w:rsidP="002C3F24">
      <w:pPr>
        <w:jc w:val="center"/>
        <w:rPr>
          <w:b/>
          <w:bCs/>
          <w:sz w:val="36"/>
          <w:szCs w:val="36"/>
        </w:rPr>
      </w:pPr>
      <w:bookmarkStart w:id="0" w:name="_GoBack"/>
      <w:bookmarkEnd w:id="0"/>
      <w:r>
        <w:rPr>
          <w:b/>
          <w:bCs/>
          <w:sz w:val="36"/>
          <w:szCs w:val="36"/>
        </w:rPr>
        <w:t xml:space="preserve">PNRR: LUCI E OMBRE </w:t>
      </w:r>
      <w:r w:rsidR="006A1886">
        <w:rPr>
          <w:b/>
          <w:bCs/>
          <w:sz w:val="36"/>
          <w:szCs w:val="36"/>
        </w:rPr>
        <w:t xml:space="preserve">SULLA </w:t>
      </w:r>
      <w:r>
        <w:rPr>
          <w:b/>
          <w:bCs/>
          <w:sz w:val="36"/>
          <w:szCs w:val="36"/>
        </w:rPr>
        <w:t>RIMODULAZIONE DELLA MISSIONE SALUTE.</w:t>
      </w:r>
      <w:r>
        <w:rPr>
          <w:b/>
          <w:bCs/>
          <w:sz w:val="36"/>
          <w:szCs w:val="36"/>
        </w:rPr>
        <w:br/>
        <w:t>AUMENTANO I PAZIENTI IN ASSISTENZA DOMICILIARE (+42MILA) E GLI ASSISTITI IN TELEMEDICINA (+100MILA).</w:t>
      </w:r>
      <w:r>
        <w:rPr>
          <w:b/>
          <w:bCs/>
          <w:sz w:val="36"/>
          <w:szCs w:val="36"/>
        </w:rPr>
        <w:br/>
        <w:t>ESPUNTE 312 CASE DI COMUNIT</w:t>
      </w:r>
      <w:r w:rsidR="00F848D8">
        <w:rPr>
          <w:b/>
          <w:bCs/>
          <w:sz w:val="36"/>
          <w:szCs w:val="36"/>
        </w:rPr>
        <w:t>À</w:t>
      </w:r>
      <w:r>
        <w:rPr>
          <w:b/>
          <w:bCs/>
          <w:sz w:val="36"/>
          <w:szCs w:val="36"/>
        </w:rPr>
        <w:t xml:space="preserve"> E 74 OSPEDALI DI COMUNITÀ: </w:t>
      </w:r>
      <w:r w:rsidR="006A1886">
        <w:rPr>
          <w:b/>
          <w:bCs/>
          <w:sz w:val="36"/>
          <w:szCs w:val="36"/>
        </w:rPr>
        <w:t xml:space="preserve">RISCHIO PENALIZZAZIONE PER IL </w:t>
      </w:r>
      <w:r>
        <w:rPr>
          <w:b/>
          <w:bCs/>
          <w:sz w:val="36"/>
          <w:szCs w:val="36"/>
        </w:rPr>
        <w:t>CENTRO-SUD</w:t>
      </w:r>
      <w:r w:rsidR="003A3596">
        <w:rPr>
          <w:b/>
          <w:bCs/>
          <w:sz w:val="36"/>
          <w:szCs w:val="36"/>
        </w:rPr>
        <w:t>.</w:t>
      </w:r>
      <w:r>
        <w:rPr>
          <w:b/>
          <w:bCs/>
          <w:sz w:val="36"/>
          <w:szCs w:val="36"/>
        </w:rPr>
        <w:br/>
        <w:t>SVANISCONO 1.803 POSTI LETTO DI AREA CRITICA.</w:t>
      </w:r>
    </w:p>
    <w:p w14:paraId="51691531" w14:textId="18EA9014" w:rsidR="00815D37" w:rsidRDefault="006600BA" w:rsidP="00815D37">
      <w:pPr>
        <w:jc w:val="center"/>
        <w:rPr>
          <w:rFonts w:ascii="Calibri" w:eastAsia="Calibri" w:hAnsi="Calibri" w:cs="Times New Roman"/>
          <w:b/>
          <w:bCs/>
          <w:sz w:val="24"/>
          <w:szCs w:val="24"/>
        </w:rPr>
      </w:pPr>
      <w:r>
        <w:rPr>
          <w:rFonts w:ascii="Calibri" w:eastAsia="Calibri" w:hAnsi="Calibri" w:cs="Times New Roman"/>
          <w:b/>
          <w:bCs/>
          <w:sz w:val="24"/>
          <w:szCs w:val="24"/>
        </w:rPr>
        <w:t>3</w:t>
      </w:r>
      <w:r w:rsidR="00371D06">
        <w:rPr>
          <w:rFonts w:ascii="Calibri" w:eastAsia="Calibri" w:hAnsi="Calibri" w:cs="Times New Roman"/>
          <w:b/>
          <w:bCs/>
          <w:sz w:val="24"/>
          <w:szCs w:val="24"/>
        </w:rPr>
        <w:t>0</w:t>
      </w:r>
      <w:r w:rsidR="00815D37">
        <w:rPr>
          <w:rFonts w:ascii="Calibri" w:eastAsia="Calibri" w:hAnsi="Calibri" w:cs="Times New Roman"/>
          <w:b/>
          <w:bCs/>
          <w:sz w:val="24"/>
          <w:szCs w:val="24"/>
        </w:rPr>
        <w:t xml:space="preserve"> </w:t>
      </w:r>
      <w:r w:rsidR="00371D06">
        <w:rPr>
          <w:rFonts w:ascii="Calibri" w:eastAsia="Calibri" w:hAnsi="Calibri" w:cs="Times New Roman"/>
          <w:b/>
          <w:bCs/>
          <w:sz w:val="24"/>
          <w:szCs w:val="24"/>
        </w:rPr>
        <w:t>novembre</w:t>
      </w:r>
      <w:r w:rsidR="00815D37">
        <w:rPr>
          <w:rFonts w:ascii="Calibri" w:eastAsia="Calibri" w:hAnsi="Calibri" w:cs="Times New Roman"/>
          <w:b/>
          <w:bCs/>
          <w:sz w:val="24"/>
          <w:szCs w:val="24"/>
        </w:rPr>
        <w:t xml:space="preserve"> 2023 - </w:t>
      </w:r>
      <w:r w:rsidR="00815D37" w:rsidRPr="00C8624C">
        <w:rPr>
          <w:rFonts w:ascii="Calibri" w:eastAsia="Calibri" w:hAnsi="Calibri" w:cs="Times New Roman"/>
          <w:b/>
          <w:bCs/>
          <w:sz w:val="24"/>
          <w:szCs w:val="24"/>
        </w:rPr>
        <w:t xml:space="preserve">Fondazione GIMBE, </w:t>
      </w:r>
      <w:r w:rsidR="00815D37">
        <w:rPr>
          <w:rFonts w:ascii="Calibri" w:eastAsia="Calibri" w:hAnsi="Calibri" w:cs="Times New Roman"/>
          <w:b/>
          <w:bCs/>
          <w:sz w:val="24"/>
          <w:szCs w:val="24"/>
        </w:rPr>
        <w:t>Roma</w:t>
      </w:r>
    </w:p>
    <w:p w14:paraId="259AB275" w14:textId="6045B12A" w:rsidR="00371D06" w:rsidRDefault="00371D06" w:rsidP="003A35AF">
      <w:pPr>
        <w:jc w:val="both"/>
        <w:rPr>
          <w:rFonts w:cstheme="minorHAnsi"/>
        </w:rPr>
      </w:pPr>
      <w:r w:rsidRPr="00295866">
        <w:rPr>
          <w:rFonts w:cstheme="minorHAnsi"/>
        </w:rPr>
        <w:t xml:space="preserve">Il 7 </w:t>
      </w:r>
      <w:r w:rsidR="00FE6C62">
        <w:rPr>
          <w:rFonts w:cstheme="minorHAnsi"/>
        </w:rPr>
        <w:t>agosto</w:t>
      </w:r>
      <w:r w:rsidRPr="00295866">
        <w:rPr>
          <w:rFonts w:cstheme="minorHAnsi"/>
        </w:rPr>
        <w:t xml:space="preserve"> 2023 l’Italia ha inviato alla Commissione Europea </w:t>
      </w:r>
      <w:r>
        <w:rPr>
          <w:rFonts w:cstheme="minorHAnsi"/>
        </w:rPr>
        <w:t>l</w:t>
      </w:r>
      <w:r w:rsidRPr="00295866">
        <w:rPr>
          <w:rFonts w:cstheme="minorHAnsi"/>
        </w:rPr>
        <w:t xml:space="preserve">a </w:t>
      </w:r>
      <w:r>
        <w:rPr>
          <w:rFonts w:cstheme="minorHAnsi"/>
        </w:rPr>
        <w:t>“</w:t>
      </w:r>
      <w:hyperlink r:id="rId8" w:history="1">
        <w:r>
          <w:rPr>
            <w:rStyle w:val="Collegamentoipertestuale"/>
            <w:rFonts w:cstheme="minorHAnsi"/>
          </w:rPr>
          <w:t>P</w:t>
        </w:r>
        <w:r w:rsidRPr="00AB07C4">
          <w:rPr>
            <w:rStyle w:val="Collegamentoipertestuale"/>
            <w:rFonts w:cstheme="minorHAnsi"/>
          </w:rPr>
          <w:t xml:space="preserve">roposta </w:t>
        </w:r>
        <w:r>
          <w:rPr>
            <w:rStyle w:val="Collegamentoipertestuale"/>
            <w:rFonts w:cstheme="minorHAnsi"/>
          </w:rPr>
          <w:t>per la</w:t>
        </w:r>
        <w:r w:rsidRPr="00AB07C4">
          <w:rPr>
            <w:rStyle w:val="Collegamentoipertestuale"/>
            <w:rFonts w:cstheme="minorHAnsi"/>
          </w:rPr>
          <w:t xml:space="preserve"> r</w:t>
        </w:r>
        <w:r>
          <w:rPr>
            <w:rStyle w:val="Collegamentoipertestuale"/>
            <w:rFonts w:cstheme="minorHAnsi"/>
          </w:rPr>
          <w:t xml:space="preserve">evisione </w:t>
        </w:r>
        <w:r w:rsidRPr="00AB07C4">
          <w:rPr>
            <w:rStyle w:val="Collegamentoipertestuale"/>
            <w:rFonts w:cstheme="minorHAnsi"/>
          </w:rPr>
          <w:t>del PNRR</w:t>
        </w:r>
      </w:hyperlink>
      <w:r>
        <w:rPr>
          <w:rStyle w:val="Collegamentoipertestuale"/>
          <w:rFonts w:cstheme="minorHAnsi"/>
        </w:rPr>
        <w:t>”</w:t>
      </w:r>
      <w:r>
        <w:rPr>
          <w:rFonts w:cstheme="minorHAnsi"/>
        </w:rPr>
        <w:t xml:space="preserve"> che, r</w:t>
      </w:r>
      <w:r w:rsidRPr="00295866">
        <w:rPr>
          <w:rFonts w:cstheme="minorHAnsi"/>
        </w:rPr>
        <w:t xml:space="preserve">elativamente alla Missione Salute, </w:t>
      </w:r>
      <w:r w:rsidRPr="00371D06">
        <w:rPr>
          <w:rFonts w:cstheme="minorHAnsi"/>
        </w:rPr>
        <w:t>chiede</w:t>
      </w:r>
      <w:r>
        <w:rPr>
          <w:rFonts w:cstheme="minorHAnsi"/>
        </w:rPr>
        <w:t xml:space="preserve">va </w:t>
      </w:r>
      <w:r w:rsidRPr="00371D06">
        <w:rPr>
          <w:rFonts w:cstheme="minorHAnsi"/>
        </w:rPr>
        <w:t xml:space="preserve">di espungere </w:t>
      </w:r>
      <w:r w:rsidR="00B65B8B">
        <w:rPr>
          <w:rFonts w:cstheme="minorHAnsi"/>
        </w:rPr>
        <w:t xml:space="preserve">la realizzazione di </w:t>
      </w:r>
      <w:r w:rsidRPr="00371D06">
        <w:rPr>
          <w:rFonts w:cstheme="minorHAnsi"/>
        </w:rPr>
        <w:t xml:space="preserve">414 Case di Comunità, 76 Centrali Operative Territoriali, </w:t>
      </w:r>
      <w:r w:rsidR="00D15D0A">
        <w:rPr>
          <w:rFonts w:cstheme="minorHAnsi"/>
        </w:rPr>
        <w:t>77</w:t>
      </w:r>
      <w:r w:rsidR="00D15D0A" w:rsidRPr="00371D06">
        <w:rPr>
          <w:rFonts w:cstheme="minorHAnsi"/>
        </w:rPr>
        <w:t xml:space="preserve"> </w:t>
      </w:r>
      <w:r w:rsidRPr="00371D06">
        <w:rPr>
          <w:rFonts w:cstheme="minorHAnsi"/>
        </w:rPr>
        <w:t>ospedali di Comunità e 22 interventi di anti-sismica</w:t>
      </w:r>
      <w:r>
        <w:rPr>
          <w:rFonts w:cstheme="minorHAnsi"/>
        </w:rPr>
        <w:t xml:space="preserve">. </w:t>
      </w:r>
      <w:r w:rsidR="00B65B8B">
        <w:rPr>
          <w:rFonts w:cstheme="minorHAnsi"/>
        </w:rPr>
        <w:t>Il documento conteneva inoltre la richiesta di</w:t>
      </w:r>
      <w:r w:rsidRPr="00371D06">
        <w:rPr>
          <w:rFonts w:cstheme="minorHAnsi"/>
        </w:rPr>
        <w:t xml:space="preserve"> differimento delle scadenze per tre target/milestone: </w:t>
      </w:r>
      <w:r w:rsidR="006A1886">
        <w:rPr>
          <w:rFonts w:cstheme="minorHAnsi"/>
        </w:rPr>
        <w:t>C</w:t>
      </w:r>
      <w:r w:rsidR="006A1886" w:rsidRPr="00371D06">
        <w:rPr>
          <w:rFonts w:cstheme="minorHAnsi"/>
        </w:rPr>
        <w:t xml:space="preserve">entrali </w:t>
      </w:r>
      <w:r w:rsidR="006A1886">
        <w:rPr>
          <w:rFonts w:cstheme="minorHAnsi"/>
        </w:rPr>
        <w:t>O</w:t>
      </w:r>
      <w:r w:rsidR="006A1886" w:rsidRPr="00371D06">
        <w:rPr>
          <w:rFonts w:cstheme="minorHAnsi"/>
        </w:rPr>
        <w:t xml:space="preserve">perative </w:t>
      </w:r>
      <w:r w:rsidR="006A1886">
        <w:rPr>
          <w:rFonts w:cstheme="minorHAnsi"/>
        </w:rPr>
        <w:t>T</w:t>
      </w:r>
      <w:r w:rsidR="006A1886" w:rsidRPr="00371D06">
        <w:rPr>
          <w:rFonts w:cstheme="minorHAnsi"/>
        </w:rPr>
        <w:t xml:space="preserve">erritoriali </w:t>
      </w:r>
      <w:r w:rsidRPr="00371D06">
        <w:rPr>
          <w:rFonts w:cstheme="minorHAnsi"/>
        </w:rPr>
        <w:t>(+6 mesi), persone assistite attraverso la telemedicina (+12 mesi), ammodernamento parco tecnologico e digitale ospedaliero (+12 mesi).</w:t>
      </w:r>
      <w:r>
        <w:rPr>
          <w:rFonts w:cstheme="minorHAnsi"/>
        </w:rPr>
        <w:t xml:space="preserve"> </w:t>
      </w:r>
      <w:r w:rsidRPr="00566963">
        <w:rPr>
          <w:rFonts w:cstheme="minorHAnsi"/>
        </w:rPr>
        <w:t>«</w:t>
      </w:r>
      <w:r>
        <w:rPr>
          <w:rFonts w:cstheme="minorHAnsi"/>
        </w:rPr>
        <w:t>L</w:t>
      </w:r>
      <w:r w:rsidRPr="00295866">
        <w:rPr>
          <w:rFonts w:cstheme="minorHAnsi"/>
        </w:rPr>
        <w:t xml:space="preserve">a maggior parte delle modifiche </w:t>
      </w:r>
      <w:r w:rsidRPr="006600BA">
        <w:t>– dichiara Nino Cartabellotta, Presidente della Fondazione GIMBE –</w:t>
      </w:r>
      <w:r>
        <w:t xml:space="preserve"> </w:t>
      </w:r>
      <w:r>
        <w:rPr>
          <w:rFonts w:cstheme="minorHAnsi"/>
        </w:rPr>
        <w:t xml:space="preserve">è stata motivata </w:t>
      </w:r>
      <w:r w:rsidR="00B65B8B">
        <w:rPr>
          <w:rFonts w:cstheme="minorHAnsi"/>
        </w:rPr>
        <w:t>d</w:t>
      </w:r>
      <w:r w:rsidR="00FE6C62">
        <w:rPr>
          <w:rFonts w:cstheme="minorHAnsi"/>
        </w:rPr>
        <w:t>a</w:t>
      </w:r>
      <w:r w:rsidR="00B65B8B">
        <w:rPr>
          <w:rFonts w:cstheme="minorHAnsi"/>
        </w:rPr>
        <w:t>ll</w:t>
      </w:r>
      <w:r w:rsidR="00B65B8B" w:rsidRPr="00295866">
        <w:rPr>
          <w:rFonts w:cstheme="minorHAnsi"/>
        </w:rPr>
        <w:t xml:space="preserve">’aumento </w:t>
      </w:r>
      <w:r w:rsidRPr="00295866">
        <w:rPr>
          <w:rFonts w:cstheme="minorHAnsi"/>
        </w:rPr>
        <w:t>dei costi dell’investimento e/o dei tempi di attuazione</w:t>
      </w:r>
      <w:r>
        <w:rPr>
          <w:rFonts w:cstheme="minorHAnsi"/>
        </w:rPr>
        <w:t xml:space="preserve">, oltre che </w:t>
      </w:r>
      <w:r w:rsidR="00B65B8B">
        <w:rPr>
          <w:rFonts w:cstheme="minorHAnsi"/>
        </w:rPr>
        <w:t>di</w:t>
      </w:r>
      <w:r w:rsidR="00B65B8B" w:rsidRPr="00295866">
        <w:rPr>
          <w:rFonts w:cstheme="minorHAnsi"/>
        </w:rPr>
        <w:t xml:space="preserve"> </w:t>
      </w:r>
      <w:r w:rsidRPr="00295866">
        <w:rPr>
          <w:rFonts w:cstheme="minorHAnsi"/>
        </w:rPr>
        <w:t>ritardi nelle forniture e difficoltà legate all’approvvigionamento delle materie prime</w:t>
      </w:r>
      <w:r w:rsidRPr="00566963">
        <w:rPr>
          <w:rFonts w:cstheme="minorHAnsi"/>
        </w:rPr>
        <w:t>»</w:t>
      </w:r>
      <w:r w:rsidRPr="00295866">
        <w:rPr>
          <w:rFonts w:cstheme="minorHAnsi"/>
        </w:rPr>
        <w:t>.</w:t>
      </w:r>
    </w:p>
    <w:p w14:paraId="16577A59" w14:textId="50B1E91F" w:rsidR="00331497" w:rsidRDefault="00371D06" w:rsidP="003A35AF">
      <w:pPr>
        <w:jc w:val="both"/>
      </w:pPr>
      <w:r>
        <w:rPr>
          <w:rFonts w:cstheme="minorHAnsi"/>
        </w:rPr>
        <w:t>Il 2</w:t>
      </w:r>
      <w:r w:rsidR="00B16061">
        <w:rPr>
          <w:rFonts w:cstheme="minorHAnsi"/>
        </w:rPr>
        <w:t>4</w:t>
      </w:r>
      <w:r>
        <w:rPr>
          <w:rFonts w:cstheme="minorHAnsi"/>
        </w:rPr>
        <w:t xml:space="preserve"> novembre 2023 la Commissione Europea </w:t>
      </w:r>
      <w:hyperlink r:id="rId9" w:history="1">
        <w:r w:rsidRPr="009041B5">
          <w:rPr>
            <w:rStyle w:val="Collegamentoipertestuale"/>
            <w:rFonts w:cstheme="minorHAnsi"/>
          </w:rPr>
          <w:t xml:space="preserve">ha </w:t>
        </w:r>
        <w:r w:rsidR="00CC477E" w:rsidRPr="009041B5">
          <w:rPr>
            <w:rStyle w:val="Collegamentoipertestuale"/>
            <w:rFonts w:cstheme="minorHAnsi"/>
          </w:rPr>
          <w:t>approvato la</w:t>
        </w:r>
        <w:r w:rsidRPr="009041B5">
          <w:rPr>
            <w:rStyle w:val="Collegamentoipertestuale"/>
            <w:rFonts w:cstheme="minorHAnsi"/>
          </w:rPr>
          <w:t xml:space="preserve"> proposta</w:t>
        </w:r>
      </w:hyperlink>
      <w:r>
        <w:rPr>
          <w:rFonts w:cstheme="minorHAnsi"/>
        </w:rPr>
        <w:t xml:space="preserve"> dove sono riportati i nuovi target quantitativi e le nuove scadenze, senza alcun riferimento a quelli della proposta iniziale. </w:t>
      </w:r>
      <w:r w:rsidR="003A35AF" w:rsidRPr="006600BA">
        <w:t>«</w:t>
      </w:r>
      <w:r w:rsidR="005B24AF">
        <w:t>N</w:t>
      </w:r>
      <w:r w:rsidR="005B24AF" w:rsidRPr="006600BA">
        <w:t xml:space="preserve">ell’ambito </w:t>
      </w:r>
      <w:r w:rsidR="003A35AF" w:rsidRPr="006600BA">
        <w:t>delle attività del nostro Osservatorio sul Servizio Sanitario Nazionale</w:t>
      </w:r>
      <w:r w:rsidR="005B24AF" w:rsidRPr="006600BA">
        <w:t xml:space="preserve"> </w:t>
      </w:r>
      <w:r w:rsidR="005D3527">
        <w:t>–</w:t>
      </w:r>
      <w:r>
        <w:t xml:space="preserve"> spiega</w:t>
      </w:r>
      <w:r w:rsidR="005D3527">
        <w:t xml:space="preserve"> </w:t>
      </w:r>
      <w:r>
        <w:t xml:space="preserve">Cartabellotta </w:t>
      </w:r>
      <w:r w:rsidR="00CC477E">
        <w:t>–</w:t>
      </w:r>
      <w:r>
        <w:t xml:space="preserve"> abbiamo</w:t>
      </w:r>
      <w:r w:rsidR="002F26F2">
        <w:t xml:space="preserve"> </w:t>
      </w:r>
      <w:r>
        <w:t xml:space="preserve">effettuato </w:t>
      </w:r>
      <w:r w:rsidR="001A2747">
        <w:t>un’</w:t>
      </w:r>
      <w:r>
        <w:t xml:space="preserve">analisi comparativa tra la proposta originale e </w:t>
      </w:r>
      <w:r w:rsidR="00CC477E">
        <w:t>il documento approvato</w:t>
      </w:r>
      <w:r>
        <w:t xml:space="preserve"> </w:t>
      </w:r>
      <w:r w:rsidR="005B24AF">
        <w:t>a</w:t>
      </w:r>
      <w:r w:rsidR="005B24AF" w:rsidRPr="006600BA">
        <w:t>l fine di fornire un quadro oggettivo</w:t>
      </w:r>
      <w:r>
        <w:t xml:space="preserve"> </w:t>
      </w:r>
      <w:r w:rsidR="00BB511F">
        <w:t xml:space="preserve">sulle modifiche apportate </w:t>
      </w:r>
      <w:r w:rsidR="00B65B8B">
        <w:t>a</w:t>
      </w:r>
      <w:r>
        <w:t>gli operatori del settore</w:t>
      </w:r>
      <w:r w:rsidR="005B24AF" w:rsidRPr="006600BA">
        <w:t>, informare i cittadini ed evitare strumentalizzazioni politiche</w:t>
      </w:r>
      <w:r w:rsidR="003A35AF" w:rsidRPr="006600BA">
        <w:t>».</w:t>
      </w:r>
      <w:r w:rsidR="00495366">
        <w:t xml:space="preserve"> L</w:t>
      </w:r>
      <w:r w:rsidR="004D5557">
        <w:t>a</w:t>
      </w:r>
      <w:r w:rsidR="00495366">
        <w:t xml:space="preserve"> </w:t>
      </w:r>
      <w:r w:rsidR="00495366" w:rsidRPr="004D5557">
        <w:rPr>
          <w:highlight w:val="yellow"/>
        </w:rPr>
        <w:t>tabell</w:t>
      </w:r>
      <w:r w:rsidR="004D5557" w:rsidRPr="004D5557">
        <w:rPr>
          <w:highlight w:val="yellow"/>
        </w:rPr>
        <w:t>a</w:t>
      </w:r>
      <w:r w:rsidR="00495366" w:rsidRPr="004D5557">
        <w:rPr>
          <w:highlight w:val="yellow"/>
        </w:rPr>
        <w:t xml:space="preserve"> 1</w:t>
      </w:r>
      <w:r w:rsidR="00495366">
        <w:t xml:space="preserve"> e </w:t>
      </w:r>
      <w:r w:rsidR="004D5557">
        <w:t xml:space="preserve">la </w:t>
      </w:r>
      <w:r w:rsidR="004D5557" w:rsidRPr="004D5557">
        <w:rPr>
          <w:highlight w:val="yellow"/>
        </w:rPr>
        <w:t xml:space="preserve">tabella </w:t>
      </w:r>
      <w:r w:rsidR="00495366" w:rsidRPr="004D5557">
        <w:rPr>
          <w:highlight w:val="yellow"/>
        </w:rPr>
        <w:t>2</w:t>
      </w:r>
      <w:r w:rsidR="00495366">
        <w:t xml:space="preserve"> riportano, rispettivamente, le modifiche quantitative e i differimenti temporali delle scadenze.</w:t>
      </w:r>
    </w:p>
    <w:p w14:paraId="1A2C800E" w14:textId="0E6EE3B3" w:rsidR="002F26F2" w:rsidRDefault="00331497" w:rsidP="002F26F2">
      <w:pPr>
        <w:jc w:val="both"/>
      </w:pPr>
      <w:r>
        <w:rPr>
          <w:b/>
          <w:bCs/>
        </w:rPr>
        <w:t>MISSIONE 6. Componente 1</w:t>
      </w:r>
      <w:r w:rsidR="005D3527">
        <w:t xml:space="preserve">. </w:t>
      </w:r>
      <w:r w:rsidR="002F26F2" w:rsidRPr="00566963">
        <w:rPr>
          <w:rFonts w:cstheme="minorHAnsi"/>
        </w:rPr>
        <w:t>«</w:t>
      </w:r>
      <w:r w:rsidR="002F26F2" w:rsidRPr="003421BE">
        <w:t>Le</w:t>
      </w:r>
      <w:r w:rsidR="002F26F2">
        <w:t xml:space="preserve"> modifiche approvate </w:t>
      </w:r>
      <w:r w:rsidR="002F26F2">
        <w:rPr>
          <w:rFonts w:cstheme="minorHAnsi"/>
        </w:rPr>
        <w:t xml:space="preserve">– spiega Cartabellotta – </w:t>
      </w:r>
      <w:r w:rsidR="002F26F2">
        <w:t xml:space="preserve">confermano le richieste di espungere </w:t>
      </w:r>
      <w:r w:rsidR="002F26F2">
        <w:rPr>
          <w:rFonts w:cstheme="minorHAnsi"/>
        </w:rPr>
        <w:t>varie strutture</w:t>
      </w:r>
      <w:r w:rsidR="004D5557">
        <w:rPr>
          <w:rFonts w:cstheme="minorHAnsi"/>
        </w:rPr>
        <w:t xml:space="preserve">, ma i </w:t>
      </w:r>
      <w:r w:rsidR="002F26F2" w:rsidRPr="00AB07C4">
        <w:rPr>
          <w:rFonts w:cstheme="minorHAnsi"/>
        </w:rPr>
        <w:t xml:space="preserve">criteri e </w:t>
      </w:r>
      <w:r w:rsidR="004D5557">
        <w:rPr>
          <w:rFonts w:cstheme="minorHAnsi"/>
        </w:rPr>
        <w:t xml:space="preserve">la </w:t>
      </w:r>
      <w:r w:rsidR="002F26F2" w:rsidRPr="00AB07C4">
        <w:rPr>
          <w:rFonts w:cstheme="minorHAnsi"/>
        </w:rPr>
        <w:t xml:space="preserve">distribuzione regionale al momento non </w:t>
      </w:r>
      <w:r w:rsidR="004D5557">
        <w:rPr>
          <w:rFonts w:cstheme="minorHAnsi"/>
        </w:rPr>
        <w:t xml:space="preserve">son </w:t>
      </w:r>
      <w:r w:rsidR="002F26F2" w:rsidRPr="00AB07C4">
        <w:rPr>
          <w:rFonts w:cstheme="minorHAnsi"/>
        </w:rPr>
        <w:t>noti</w:t>
      </w:r>
      <w:r w:rsidR="002F26F2">
        <w:rPr>
          <w:rFonts w:cstheme="minorHAnsi"/>
        </w:rPr>
        <w:t xml:space="preserve">. Tuttavia, se ad essere espunte saranno le strutture </w:t>
      </w:r>
      <w:r w:rsidR="002F26F2" w:rsidRPr="00AB07C4">
        <w:rPr>
          <w:rFonts w:cstheme="minorHAnsi"/>
        </w:rPr>
        <w:t xml:space="preserve">da realizzare ex novo, </w:t>
      </w:r>
      <w:r w:rsidR="002F26F2">
        <w:rPr>
          <w:rFonts w:cstheme="minorHAnsi"/>
        </w:rPr>
        <w:t>sar</w:t>
      </w:r>
      <w:r w:rsidR="004D5557">
        <w:rPr>
          <w:rFonts w:cstheme="minorHAnsi"/>
        </w:rPr>
        <w:t>anno</w:t>
      </w:r>
      <w:r w:rsidR="002F26F2">
        <w:rPr>
          <w:rFonts w:cstheme="minorHAnsi"/>
        </w:rPr>
        <w:t xml:space="preserve"> prevalentemente </w:t>
      </w:r>
      <w:r w:rsidR="004D5557">
        <w:rPr>
          <w:rFonts w:cstheme="minorHAnsi"/>
        </w:rPr>
        <w:t xml:space="preserve">le Regioni del </w:t>
      </w:r>
      <w:r w:rsidR="002F26F2">
        <w:rPr>
          <w:rFonts w:cstheme="minorHAnsi"/>
        </w:rPr>
        <w:t>l Centro-Sud ad essere penalizzat</w:t>
      </w:r>
      <w:r w:rsidR="004D5557">
        <w:rPr>
          <w:rFonts w:cstheme="minorHAnsi"/>
        </w:rPr>
        <w:t>e</w:t>
      </w:r>
      <w:r w:rsidR="002F26F2" w:rsidRPr="00566963">
        <w:rPr>
          <w:rFonts w:cstheme="minorHAnsi"/>
        </w:rPr>
        <w:t>»</w:t>
      </w:r>
      <w:r w:rsidR="002F26F2" w:rsidRPr="00AB07C4">
        <w:rPr>
          <w:rFonts w:cstheme="minorHAnsi"/>
        </w:rPr>
        <w:t>.</w:t>
      </w:r>
      <w:r w:rsidR="00CC477E">
        <w:rPr>
          <w:rFonts w:cstheme="minorHAnsi"/>
        </w:rPr>
        <w:t xml:space="preserve"> In dettaglio</w:t>
      </w:r>
      <w:r w:rsidR="0069048E">
        <w:rPr>
          <w:rFonts w:cstheme="minorHAnsi"/>
        </w:rPr>
        <w:t xml:space="preserve"> dovranno essere realizzate</w:t>
      </w:r>
      <w:r w:rsidR="00CC477E">
        <w:rPr>
          <w:rFonts w:cstheme="minorHAnsi"/>
        </w:rPr>
        <w:t>:</w:t>
      </w:r>
    </w:p>
    <w:p w14:paraId="35D5A81C" w14:textId="7179DE1C" w:rsidR="00331497" w:rsidRDefault="003421BE" w:rsidP="001A2747">
      <w:pPr>
        <w:pStyle w:val="Paragrafoelenco"/>
        <w:numPr>
          <w:ilvl w:val="0"/>
          <w:numId w:val="40"/>
        </w:numPr>
        <w:spacing w:line="276" w:lineRule="auto"/>
        <w:jc w:val="both"/>
      </w:pPr>
      <w:r>
        <w:t>Case della Comunità: 1.038, rispetto alle 1.350 iniziali (-</w:t>
      </w:r>
      <w:r w:rsidR="001A2747">
        <w:t>312</w:t>
      </w:r>
      <w:r>
        <w:t>)</w:t>
      </w:r>
    </w:p>
    <w:p w14:paraId="7FDBBBB8" w14:textId="718F7F6F" w:rsidR="003421BE" w:rsidRDefault="003421BE" w:rsidP="001A2747">
      <w:pPr>
        <w:pStyle w:val="Paragrafoelenco"/>
        <w:numPr>
          <w:ilvl w:val="0"/>
          <w:numId w:val="40"/>
        </w:numPr>
        <w:spacing w:line="276" w:lineRule="auto"/>
        <w:jc w:val="both"/>
      </w:pPr>
      <w:r>
        <w:t>Centrali Operative Territoriali: 480, rispetto alle 600 iniziali (-</w:t>
      </w:r>
      <w:r w:rsidR="001A2747">
        <w:t>120</w:t>
      </w:r>
      <w:r>
        <w:t>)</w:t>
      </w:r>
    </w:p>
    <w:p w14:paraId="06822DCB" w14:textId="0FB0BCE5" w:rsidR="002F26F2" w:rsidRDefault="003421BE" w:rsidP="002F26F2">
      <w:pPr>
        <w:pStyle w:val="Paragrafoelenco"/>
        <w:numPr>
          <w:ilvl w:val="0"/>
          <w:numId w:val="40"/>
        </w:numPr>
        <w:spacing w:line="276" w:lineRule="auto"/>
        <w:jc w:val="both"/>
      </w:pPr>
      <w:r>
        <w:t xml:space="preserve">Ospedali di Comunità: 307, rispetto ai </w:t>
      </w:r>
      <w:r w:rsidR="00AD613D">
        <w:t>381</w:t>
      </w:r>
      <w:r>
        <w:t xml:space="preserve"> iniziali (-</w:t>
      </w:r>
      <w:r w:rsidR="00AD613D">
        <w:t>74</w:t>
      </w:r>
      <w:r>
        <w:t>)</w:t>
      </w:r>
    </w:p>
    <w:p w14:paraId="0A4B613B" w14:textId="77777777" w:rsidR="00CC477E" w:rsidRPr="00CC477E" w:rsidRDefault="00CC477E" w:rsidP="00CC477E">
      <w:pPr>
        <w:pStyle w:val="Paragrafoelenco"/>
        <w:spacing w:line="276" w:lineRule="auto"/>
        <w:ind w:left="360"/>
        <w:jc w:val="both"/>
      </w:pPr>
    </w:p>
    <w:p w14:paraId="5820CB1A" w14:textId="182BC6C0" w:rsidR="00012D14" w:rsidRPr="002F26F2" w:rsidRDefault="002F26F2" w:rsidP="002F26F2">
      <w:pPr>
        <w:jc w:val="both"/>
        <w:rPr>
          <w:rFonts w:cstheme="minorHAnsi"/>
        </w:rPr>
      </w:pPr>
      <w:r w:rsidRPr="000A47FF">
        <w:rPr>
          <w:rFonts w:cstheme="minorHAnsi"/>
        </w:rPr>
        <w:t>Secondo quanto riportato nel piano di rimodulazione</w:t>
      </w:r>
      <w:r w:rsidR="0069048E">
        <w:rPr>
          <w:rFonts w:cstheme="minorHAnsi"/>
        </w:rPr>
        <w:t>,</w:t>
      </w:r>
      <w:r>
        <w:rPr>
          <w:rFonts w:cstheme="minorHAnsi"/>
        </w:rPr>
        <w:t xml:space="preserve"> </w:t>
      </w:r>
      <w:r w:rsidRPr="000A47FF">
        <w:rPr>
          <w:rFonts w:cstheme="minorHAnsi"/>
        </w:rPr>
        <w:t xml:space="preserve">gli investimenti espunti dovrebbero essere </w:t>
      </w:r>
      <w:r w:rsidR="006A1886">
        <w:rPr>
          <w:rFonts w:cstheme="minorHAnsi"/>
        </w:rPr>
        <w:t>finanziati con</w:t>
      </w:r>
      <w:r w:rsidR="006A1886" w:rsidRPr="000A47FF">
        <w:rPr>
          <w:rFonts w:cstheme="minorHAnsi"/>
        </w:rPr>
        <w:t xml:space="preserve"> </w:t>
      </w:r>
      <w:r w:rsidRPr="000A47FF">
        <w:rPr>
          <w:rFonts w:cstheme="minorHAnsi"/>
        </w:rPr>
        <w:t>le risorse del programma di investimenti in edilizia sanitaria e ammodernamento tecnologico (ex art. 20 L. 67/1988) non spese dalle Regioni.</w:t>
      </w:r>
      <w:r>
        <w:rPr>
          <w:rFonts w:cstheme="minorHAnsi"/>
        </w:rPr>
        <w:t xml:space="preserve"> </w:t>
      </w:r>
      <w:r w:rsidRPr="00AB07C4">
        <w:rPr>
          <w:rFonts w:cstheme="minorHAnsi"/>
        </w:rPr>
        <w:t>«</w:t>
      </w:r>
      <w:r>
        <w:rPr>
          <w:rFonts w:cstheme="minorHAnsi"/>
        </w:rPr>
        <w:t xml:space="preserve">Tuttavia </w:t>
      </w:r>
      <w:r w:rsidR="006A1886">
        <w:rPr>
          <w:rFonts w:cstheme="minorHAnsi"/>
        </w:rPr>
        <w:t xml:space="preserve">è bene sottolineare </w:t>
      </w:r>
      <w:r w:rsidR="006A1886" w:rsidRPr="00AB07C4">
        <w:rPr>
          <w:rFonts w:cstheme="minorHAnsi"/>
        </w:rPr>
        <w:t>–</w:t>
      </w:r>
      <w:r w:rsidR="006A1886">
        <w:rPr>
          <w:rFonts w:cstheme="minorHAnsi"/>
        </w:rPr>
        <w:t xml:space="preserve"> precisa il Presidente – che</w:t>
      </w:r>
      <w:r>
        <w:rPr>
          <w:rFonts w:cstheme="minorHAnsi"/>
        </w:rPr>
        <w:t xml:space="preserve"> il documento </w:t>
      </w:r>
      <w:r w:rsidR="00CC477E">
        <w:rPr>
          <w:rFonts w:cstheme="minorHAnsi"/>
        </w:rPr>
        <w:t>approvato dalla</w:t>
      </w:r>
      <w:r>
        <w:rPr>
          <w:rFonts w:cstheme="minorHAnsi"/>
        </w:rPr>
        <w:t xml:space="preserve"> Commissione Europea</w:t>
      </w:r>
      <w:r w:rsidR="006A1886">
        <w:rPr>
          <w:rFonts w:cstheme="minorHAnsi"/>
        </w:rPr>
        <w:t xml:space="preserve"> </w:t>
      </w:r>
      <w:r>
        <w:rPr>
          <w:rFonts w:cstheme="minorHAnsi"/>
        </w:rPr>
        <w:t>menziona tali fondi solo per compensare gli investimenti relativi all’antisismica</w:t>
      </w:r>
      <w:r w:rsidRPr="00AB07C4">
        <w:rPr>
          <w:rFonts w:cstheme="minorHAnsi"/>
        </w:rPr>
        <w:t>».</w:t>
      </w:r>
      <w:r w:rsidRPr="002F26F2">
        <w:rPr>
          <w:rFonts w:cstheme="minorHAnsi"/>
        </w:rPr>
        <w:t xml:space="preserve"> </w:t>
      </w:r>
      <w:r>
        <w:rPr>
          <w:rFonts w:cstheme="minorHAnsi"/>
        </w:rPr>
        <w:t xml:space="preserve">In particolare, è stata aggiunta la misura </w:t>
      </w:r>
      <w:r w:rsidRPr="002F26F2">
        <w:rPr>
          <w:rFonts w:cstheme="minorHAnsi"/>
        </w:rPr>
        <w:t>M6C2-10 bis</w:t>
      </w:r>
      <w:r>
        <w:rPr>
          <w:rFonts w:cstheme="minorHAnsi"/>
        </w:rPr>
        <w:t xml:space="preserve"> che prevede l’erogazione di a</w:t>
      </w:r>
      <w:r w:rsidRPr="002F26F2">
        <w:rPr>
          <w:rFonts w:cstheme="minorHAnsi"/>
        </w:rPr>
        <w:t xml:space="preserve">lmeno il 90% di </w:t>
      </w:r>
      <w:r>
        <w:rPr>
          <w:rFonts w:cstheme="minorHAnsi"/>
        </w:rPr>
        <w:t xml:space="preserve">€ </w:t>
      </w:r>
      <w:r w:rsidRPr="002F26F2">
        <w:rPr>
          <w:rFonts w:cstheme="minorHAnsi"/>
        </w:rPr>
        <w:t>250</w:t>
      </w:r>
      <w:r>
        <w:rPr>
          <w:rFonts w:cstheme="minorHAnsi"/>
        </w:rPr>
        <w:t xml:space="preserve"> milioni </w:t>
      </w:r>
      <w:r w:rsidRPr="002F26F2">
        <w:rPr>
          <w:rFonts w:cstheme="minorHAnsi"/>
        </w:rPr>
        <w:t xml:space="preserve">per progetti finalizzati alla ristrutturazione e modernizzazione degli ospedali correlati agli Accordi </w:t>
      </w:r>
      <w:r w:rsidR="00F62903">
        <w:rPr>
          <w:rFonts w:cstheme="minorHAnsi"/>
        </w:rPr>
        <w:t xml:space="preserve">di </w:t>
      </w:r>
      <w:r w:rsidRPr="002F26F2">
        <w:rPr>
          <w:rFonts w:cstheme="minorHAnsi"/>
        </w:rPr>
        <w:t>Programma di cui all</w:t>
      </w:r>
      <w:r w:rsidR="0069048E">
        <w:rPr>
          <w:rFonts w:cstheme="minorHAnsi"/>
        </w:rPr>
        <w:t>’</w:t>
      </w:r>
      <w:r w:rsidRPr="002F26F2">
        <w:rPr>
          <w:rFonts w:cstheme="minorHAnsi"/>
        </w:rPr>
        <w:t>art</w:t>
      </w:r>
      <w:r w:rsidR="003A3596">
        <w:rPr>
          <w:rFonts w:cstheme="minorHAnsi"/>
        </w:rPr>
        <w:t xml:space="preserve">. </w:t>
      </w:r>
      <w:r w:rsidRPr="002F26F2">
        <w:rPr>
          <w:rFonts w:cstheme="minorHAnsi"/>
        </w:rPr>
        <w:t xml:space="preserve">20 della </w:t>
      </w:r>
      <w:r w:rsidR="006A1886" w:rsidRPr="002F26F2">
        <w:rPr>
          <w:rFonts w:cstheme="minorHAnsi"/>
        </w:rPr>
        <w:t>L</w:t>
      </w:r>
      <w:r w:rsidR="006A1886">
        <w:rPr>
          <w:rFonts w:cstheme="minorHAnsi"/>
        </w:rPr>
        <w:t>.</w:t>
      </w:r>
      <w:r w:rsidR="006A1886" w:rsidRPr="002F26F2">
        <w:rPr>
          <w:rFonts w:cstheme="minorHAnsi"/>
        </w:rPr>
        <w:t xml:space="preserve"> </w:t>
      </w:r>
      <w:r w:rsidRPr="002F26F2">
        <w:rPr>
          <w:rFonts w:cstheme="minorHAnsi"/>
        </w:rPr>
        <w:t>67/88.</w:t>
      </w:r>
      <w:r>
        <w:rPr>
          <w:rFonts w:cstheme="minorHAnsi"/>
        </w:rPr>
        <w:t xml:space="preserve"> </w:t>
      </w:r>
    </w:p>
    <w:p w14:paraId="5EF32806" w14:textId="70785925" w:rsidR="001A2747" w:rsidRPr="001A2747" w:rsidRDefault="001A2747" w:rsidP="001A2747">
      <w:pPr>
        <w:jc w:val="both"/>
      </w:pPr>
      <w:r>
        <w:lastRenderedPageBreak/>
        <w:t xml:space="preserve">È previsto un </w:t>
      </w:r>
      <w:r w:rsidR="00012D14">
        <w:t>incremento</w:t>
      </w:r>
      <w:r w:rsidR="00B12C1F">
        <w:t xml:space="preserve"> del target quantitativo</w:t>
      </w:r>
      <w:r>
        <w:t xml:space="preserve">, sia del numero di persone over 65 da prendere in carico in assistenza domiciliare (da </w:t>
      </w:r>
      <w:r w:rsidR="005D3527">
        <w:t>almeno 800</w:t>
      </w:r>
      <w:r w:rsidR="006A1886">
        <w:t xml:space="preserve"> </w:t>
      </w:r>
      <w:r w:rsidR="005D3527">
        <w:t xml:space="preserve">mila </w:t>
      </w:r>
      <w:r>
        <w:t xml:space="preserve">a </w:t>
      </w:r>
      <w:r w:rsidR="001A6042">
        <w:t>842</w:t>
      </w:r>
      <w:r w:rsidR="006A1886">
        <w:t xml:space="preserve"> </w:t>
      </w:r>
      <w:r w:rsidR="001A6042">
        <w:t>mila</w:t>
      </w:r>
      <w:r>
        <w:t xml:space="preserve">), sia del numero di pazienti assistiti in telemedicina (da </w:t>
      </w:r>
      <w:r w:rsidR="005D3527">
        <w:t>almeno 200</w:t>
      </w:r>
      <w:r w:rsidR="006A1886">
        <w:t xml:space="preserve"> </w:t>
      </w:r>
      <w:r w:rsidR="005D3527">
        <w:t xml:space="preserve">mila </w:t>
      </w:r>
      <w:r>
        <w:t xml:space="preserve">a </w:t>
      </w:r>
      <w:r w:rsidR="001A6042">
        <w:t>300</w:t>
      </w:r>
      <w:r w:rsidR="004D5557">
        <w:t xml:space="preserve"> </w:t>
      </w:r>
      <w:r w:rsidR="001A6042">
        <w:t>mila</w:t>
      </w:r>
      <w:r>
        <w:t>)</w:t>
      </w:r>
      <w:r w:rsidR="00F65982">
        <w:t xml:space="preserve">. </w:t>
      </w:r>
      <w:r w:rsidR="00F65982" w:rsidRPr="00566963">
        <w:rPr>
          <w:rFonts w:cstheme="minorHAnsi"/>
        </w:rPr>
        <w:t>«</w:t>
      </w:r>
      <w:r w:rsidR="00F65982">
        <w:rPr>
          <w:rFonts w:cstheme="minorHAnsi"/>
        </w:rPr>
        <w:t>Un impegno – commenta il Presidente – indubbiamente condivisibile, in linea con le necessità di potenziare ulteriormente l’ADI e, soprattutto, di espandere l’utilizzo della telemedicina. La cui vera implementazione è tuttavia condizionata dall’inserimento delle varie prestazioni nei livelli essenziali di assistenza</w:t>
      </w:r>
      <w:r w:rsidR="0069048E">
        <w:rPr>
          <w:rFonts w:cstheme="minorHAnsi"/>
        </w:rPr>
        <w:t>, che oggi includono</w:t>
      </w:r>
      <w:r w:rsidR="00F65982">
        <w:rPr>
          <w:rFonts w:cstheme="minorHAnsi"/>
        </w:rPr>
        <w:t xml:space="preserve"> solo la tele-neuroriabilitazione</w:t>
      </w:r>
      <w:r w:rsidR="00F65982" w:rsidRPr="00566963">
        <w:rPr>
          <w:rFonts w:cstheme="minorHAnsi"/>
        </w:rPr>
        <w:t>»</w:t>
      </w:r>
      <w:r w:rsidR="00F65982" w:rsidRPr="00AB07C4">
        <w:rPr>
          <w:rFonts w:cstheme="minorHAnsi"/>
        </w:rPr>
        <w:t>.</w:t>
      </w:r>
    </w:p>
    <w:p w14:paraId="3C810044" w14:textId="0195FC04" w:rsidR="00F65982" w:rsidRPr="00F65982" w:rsidRDefault="00F65982" w:rsidP="00F65982">
      <w:pPr>
        <w:jc w:val="both"/>
        <w:rPr>
          <w:rFonts w:cstheme="minorHAnsi"/>
        </w:rPr>
      </w:pPr>
      <w:r>
        <w:rPr>
          <w:rFonts w:cstheme="minorHAnsi"/>
        </w:rPr>
        <w:t xml:space="preserve">La rimodulazione prevede anche il differimento temporale del target relativo all’attivazione delle Centrali Operative Territoriali dal </w:t>
      </w:r>
      <w:r w:rsidRPr="00F65982">
        <w:t>30 giugno 2024</w:t>
      </w:r>
      <w:r>
        <w:t xml:space="preserve"> al </w:t>
      </w:r>
      <w:r w:rsidRPr="00F65982">
        <w:t>31 dicembre 2024</w:t>
      </w:r>
      <w:r>
        <w:t xml:space="preserve"> (</w:t>
      </w:r>
      <w:r w:rsidRPr="00F65982">
        <w:t>+6 mesi</w:t>
      </w:r>
      <w:r>
        <w:t>)</w:t>
      </w:r>
      <w:r w:rsidR="0069048E">
        <w:t>.</w:t>
      </w:r>
    </w:p>
    <w:p w14:paraId="74D31CEB" w14:textId="284C9D80" w:rsidR="00012D14" w:rsidRPr="006426F2" w:rsidRDefault="00331497" w:rsidP="00012D14">
      <w:pPr>
        <w:jc w:val="both"/>
        <w:rPr>
          <w:b/>
          <w:bCs/>
        </w:rPr>
      </w:pPr>
      <w:r>
        <w:rPr>
          <w:b/>
          <w:bCs/>
        </w:rPr>
        <w:t>MISSIONE 6. Componente 2</w:t>
      </w:r>
      <w:r w:rsidR="006426F2">
        <w:t xml:space="preserve">. </w:t>
      </w:r>
      <w:r w:rsidR="00012D14" w:rsidRPr="003421BE">
        <w:t>Le</w:t>
      </w:r>
      <w:r w:rsidR="00012D14">
        <w:t xml:space="preserve"> modifiche approvate confermano </w:t>
      </w:r>
      <w:r w:rsidR="006426F2">
        <w:t xml:space="preserve">la </w:t>
      </w:r>
      <w:r w:rsidR="006A1886">
        <w:t xml:space="preserve">riduzione del </w:t>
      </w:r>
      <w:r w:rsidR="006426F2">
        <w:t>numero di interventi di antisismica negli ospedali</w:t>
      </w:r>
      <w:r w:rsidR="00D15D0A">
        <w:t xml:space="preserve"> e </w:t>
      </w:r>
      <w:r w:rsidR="006A1886">
        <w:t>prevedono una</w:t>
      </w:r>
      <w:r w:rsidR="00D15D0A">
        <w:t xml:space="preserve"> riduzione dei posti letto di terapia intensiva e semi-intensiva</w:t>
      </w:r>
      <w:r w:rsidR="00012D14">
        <w:t>.</w:t>
      </w:r>
      <w:r w:rsidR="00F62903">
        <w:t xml:space="preserve"> In dettaglio</w:t>
      </w:r>
      <w:r w:rsidR="0069048E">
        <w:t xml:space="preserve"> sono previsti</w:t>
      </w:r>
      <w:r w:rsidR="00F62903">
        <w:t>:</w:t>
      </w:r>
    </w:p>
    <w:p w14:paraId="62094B12" w14:textId="147D0AA2" w:rsidR="00012D14" w:rsidRDefault="00012D14" w:rsidP="00012D14">
      <w:pPr>
        <w:pStyle w:val="Paragrafoelenco"/>
        <w:numPr>
          <w:ilvl w:val="0"/>
          <w:numId w:val="40"/>
        </w:numPr>
        <w:spacing w:line="276" w:lineRule="auto"/>
        <w:jc w:val="both"/>
      </w:pPr>
      <w:r>
        <w:t>Interventi di antisismica: 84, rispetto ai 109 iniziali (-25)</w:t>
      </w:r>
    </w:p>
    <w:p w14:paraId="6FE8E7B1" w14:textId="29A89539" w:rsidR="00012D14" w:rsidRDefault="00012D14" w:rsidP="00012D14">
      <w:pPr>
        <w:pStyle w:val="Paragrafoelenco"/>
        <w:numPr>
          <w:ilvl w:val="0"/>
          <w:numId w:val="40"/>
        </w:numPr>
        <w:spacing w:line="276" w:lineRule="auto"/>
        <w:jc w:val="both"/>
      </w:pPr>
      <w:r>
        <w:t xml:space="preserve">Posti letto di terapia intensiva: 2.692, rispetto ai </w:t>
      </w:r>
      <w:r w:rsidR="00F65982">
        <w:t>3.500</w:t>
      </w:r>
      <w:r>
        <w:t xml:space="preserve"> iniziali (-</w:t>
      </w:r>
      <w:r w:rsidR="00F65982">
        <w:t>808</w:t>
      </w:r>
      <w:r>
        <w:t>)</w:t>
      </w:r>
    </w:p>
    <w:p w14:paraId="35335B8B" w14:textId="3112536E" w:rsidR="002F26F2" w:rsidRDefault="00012D14" w:rsidP="006426F2">
      <w:pPr>
        <w:pStyle w:val="Paragrafoelenco"/>
        <w:numPr>
          <w:ilvl w:val="0"/>
          <w:numId w:val="40"/>
        </w:numPr>
        <w:spacing w:line="276" w:lineRule="auto"/>
        <w:jc w:val="both"/>
      </w:pPr>
      <w:r>
        <w:t xml:space="preserve">Posti letto di terapia semi-intensiva: 3.230, rispetto ai </w:t>
      </w:r>
      <w:r w:rsidR="00F65982">
        <w:t>4.225</w:t>
      </w:r>
      <w:r>
        <w:t xml:space="preserve"> iniziali (-</w:t>
      </w:r>
      <w:r w:rsidR="00F65982">
        <w:t>995</w:t>
      </w:r>
      <w:r>
        <w:t>)</w:t>
      </w:r>
    </w:p>
    <w:p w14:paraId="271761E7" w14:textId="77777777" w:rsidR="00F62903" w:rsidRPr="00F62903" w:rsidRDefault="00F62903" w:rsidP="00F62903">
      <w:pPr>
        <w:pStyle w:val="Paragrafoelenco"/>
        <w:spacing w:line="276" w:lineRule="auto"/>
        <w:ind w:left="360"/>
        <w:jc w:val="both"/>
      </w:pPr>
    </w:p>
    <w:p w14:paraId="11B08C1E" w14:textId="432D502D" w:rsidR="00F65982" w:rsidRPr="006426F2" w:rsidRDefault="00F65982" w:rsidP="006426F2">
      <w:pPr>
        <w:jc w:val="both"/>
      </w:pPr>
      <w:r w:rsidRPr="00566963">
        <w:rPr>
          <w:rFonts w:cstheme="minorHAnsi"/>
        </w:rPr>
        <w:t>«</w:t>
      </w:r>
      <w:r w:rsidR="0069048E">
        <w:rPr>
          <w:rFonts w:cstheme="minorHAnsi"/>
        </w:rPr>
        <w:t>L</w:t>
      </w:r>
      <w:r>
        <w:rPr>
          <w:rFonts w:cstheme="minorHAnsi"/>
        </w:rPr>
        <w:t>a rimodulazione al ribasso del numero di posti letto in terapia intensiva e sub-intensiva</w:t>
      </w:r>
      <w:r w:rsidR="0069048E">
        <w:rPr>
          <w:rFonts w:cstheme="minorHAnsi"/>
        </w:rPr>
        <w:t xml:space="preserve"> – commenta il Presidente –</w:t>
      </w:r>
      <w:r>
        <w:rPr>
          <w:rFonts w:cstheme="minorHAnsi"/>
        </w:rPr>
        <w:t xml:space="preserve"> </w:t>
      </w:r>
      <w:r w:rsidR="006A1886">
        <w:rPr>
          <w:rFonts w:cstheme="minorHAnsi"/>
        </w:rPr>
        <w:t>d</w:t>
      </w:r>
      <w:r w:rsidR="005A5B01">
        <w:rPr>
          <w:rFonts w:cstheme="minorHAnsi"/>
        </w:rPr>
        <w:t>i</w:t>
      </w:r>
      <w:r w:rsidR="006A1886">
        <w:rPr>
          <w:rFonts w:cstheme="minorHAnsi"/>
        </w:rPr>
        <w:t xml:space="preserve"> ben </w:t>
      </w:r>
      <w:r w:rsidR="006426F2">
        <w:rPr>
          <w:rFonts w:cstheme="minorHAnsi"/>
        </w:rPr>
        <w:t>1.803</w:t>
      </w:r>
      <w:r w:rsidR="0069048E">
        <w:rPr>
          <w:rFonts w:cstheme="minorHAnsi"/>
        </w:rPr>
        <w:t xml:space="preserve"> </w:t>
      </w:r>
      <w:r w:rsidR="006A1886">
        <w:rPr>
          <w:rFonts w:cstheme="minorHAnsi"/>
        </w:rPr>
        <w:t xml:space="preserve">unità </w:t>
      </w:r>
      <w:r w:rsidR="0069048E">
        <w:rPr>
          <w:rFonts w:cstheme="minorHAnsi"/>
        </w:rPr>
        <w:t>(</w:t>
      </w:r>
      <w:r w:rsidR="00D15D0A">
        <w:rPr>
          <w:rFonts w:cstheme="minorHAnsi"/>
        </w:rPr>
        <w:t>ovvero 1 su 4</w:t>
      </w:r>
      <w:r w:rsidR="0069048E">
        <w:rPr>
          <w:rFonts w:cstheme="minorHAnsi"/>
        </w:rPr>
        <w:t xml:space="preserve">) risulta poco comprensibile </w:t>
      </w:r>
      <w:r w:rsidR="006426F2">
        <w:rPr>
          <w:rFonts w:cstheme="minorHAnsi"/>
        </w:rPr>
        <w:t>per almeno tre ragioni. Innanzitutto, non era</w:t>
      </w:r>
      <w:r w:rsidR="004D5557">
        <w:rPr>
          <w:rFonts w:cstheme="minorHAnsi"/>
        </w:rPr>
        <w:t xml:space="preserve"> prevista </w:t>
      </w:r>
      <w:r w:rsidR="006426F2">
        <w:rPr>
          <w:rFonts w:cstheme="minorHAnsi"/>
        </w:rPr>
        <w:t>nella proposta di rimodulazione del 27 luglio</w:t>
      </w:r>
      <w:r w:rsidR="004D5557">
        <w:rPr>
          <w:rFonts w:cstheme="minorHAnsi"/>
        </w:rPr>
        <w:t xml:space="preserve"> 2023</w:t>
      </w:r>
      <w:r w:rsidR="006426F2">
        <w:rPr>
          <w:rFonts w:cstheme="minorHAnsi"/>
        </w:rPr>
        <w:t xml:space="preserve">; in secondo luogo, </w:t>
      </w:r>
      <w:r w:rsidR="004D5557">
        <w:rPr>
          <w:rFonts w:cstheme="minorHAnsi"/>
        </w:rPr>
        <w:t xml:space="preserve">riguarda </w:t>
      </w:r>
      <w:r w:rsidR="006426F2">
        <w:rPr>
          <w:rFonts w:cstheme="minorHAnsi"/>
        </w:rPr>
        <w:t xml:space="preserve">un progetto già finanziato con i fondi del decreto rilancio; infine, il potenziamento di queste strutture rappresenta una misura chiave del </w:t>
      </w:r>
      <w:r w:rsidR="002F26F2">
        <w:rPr>
          <w:rFonts w:cstheme="minorHAnsi"/>
        </w:rPr>
        <w:t xml:space="preserve">nuovo </w:t>
      </w:r>
      <w:r w:rsidR="006426F2">
        <w:rPr>
          <w:rFonts w:cstheme="minorHAnsi"/>
        </w:rPr>
        <w:t>piano pandemico</w:t>
      </w:r>
      <w:r w:rsidRPr="00566963">
        <w:rPr>
          <w:rFonts w:cstheme="minorHAnsi"/>
        </w:rPr>
        <w:t>»</w:t>
      </w:r>
      <w:r w:rsidRPr="00AB07C4">
        <w:rPr>
          <w:rFonts w:cstheme="minorHAnsi"/>
        </w:rPr>
        <w:t>.</w:t>
      </w:r>
      <w:r w:rsidR="00103A7B">
        <w:rPr>
          <w:rFonts w:cstheme="minorHAnsi"/>
        </w:rPr>
        <w:t xml:space="preserve"> </w:t>
      </w:r>
      <w:r w:rsidR="006A1886">
        <w:rPr>
          <w:rFonts w:cstheme="minorHAnsi"/>
        </w:rPr>
        <w:t>C</w:t>
      </w:r>
      <w:r w:rsidR="00103A7B" w:rsidRPr="00103A7B">
        <w:rPr>
          <w:rFonts w:cstheme="minorHAnsi"/>
        </w:rPr>
        <w:t>onsiderato che trattavasi di un “progetto in essere”, già finanziato con le risorse del decreto rilancio (DL 34/2020),</w:t>
      </w:r>
      <w:r w:rsidR="002C09A6">
        <w:rPr>
          <w:rFonts w:cstheme="minorHAnsi"/>
        </w:rPr>
        <w:t xml:space="preserve"> dal documento approvato dalla Commissione Europea non risulta in alcun modo se i posti letto “svaniti” </w:t>
      </w:r>
      <w:r w:rsidR="00173520">
        <w:rPr>
          <w:rFonts w:cstheme="minorHAnsi"/>
        </w:rPr>
        <w:t xml:space="preserve">verranno </w:t>
      </w:r>
      <w:r w:rsidR="002C09A6">
        <w:rPr>
          <w:rFonts w:cstheme="minorHAnsi"/>
        </w:rPr>
        <w:t>comunque realizzati.</w:t>
      </w:r>
    </w:p>
    <w:p w14:paraId="5AC05D5C" w14:textId="0DAAD1CB" w:rsidR="00F65982" w:rsidRPr="00495366" w:rsidRDefault="002F26F2" w:rsidP="00495366">
      <w:pPr>
        <w:jc w:val="both"/>
        <w:rPr>
          <w:rFonts w:cstheme="minorHAnsi"/>
        </w:rPr>
      </w:pPr>
      <w:r>
        <w:rPr>
          <w:rFonts w:cstheme="minorHAnsi"/>
        </w:rPr>
        <w:t>Relativamente alla componente 2, l</w:t>
      </w:r>
      <w:r w:rsidR="00F65982">
        <w:rPr>
          <w:rFonts w:cstheme="minorHAnsi"/>
        </w:rPr>
        <w:t>a rimodulazione prevede anche il differimento temporale del target relativo all’installazione delle g</w:t>
      </w:r>
      <w:r w:rsidR="00F65982" w:rsidRPr="00F65982">
        <w:rPr>
          <w:rFonts w:cstheme="minorHAnsi"/>
        </w:rPr>
        <w:t>randi apparecchiature</w:t>
      </w:r>
      <w:r w:rsidR="00F65982">
        <w:rPr>
          <w:rFonts w:cstheme="minorHAnsi"/>
        </w:rPr>
        <w:t xml:space="preserve"> dal </w:t>
      </w:r>
      <w:r w:rsidR="00F65982" w:rsidRPr="00F65982">
        <w:rPr>
          <w:rFonts w:cstheme="minorHAnsi"/>
        </w:rPr>
        <w:t>31 dicembre 2024</w:t>
      </w:r>
      <w:r>
        <w:rPr>
          <w:rFonts w:cstheme="minorHAnsi"/>
        </w:rPr>
        <w:t xml:space="preserve"> </w:t>
      </w:r>
      <w:r w:rsidR="00F65982">
        <w:rPr>
          <w:rFonts w:cstheme="minorHAnsi"/>
        </w:rPr>
        <w:t xml:space="preserve">al </w:t>
      </w:r>
      <w:r w:rsidR="00F65982" w:rsidRPr="00F65982">
        <w:rPr>
          <w:rFonts w:cstheme="minorHAnsi"/>
        </w:rPr>
        <w:t>30 giugno 2026</w:t>
      </w:r>
      <w:r w:rsidR="00F65982">
        <w:rPr>
          <w:rFonts w:cstheme="minorHAnsi"/>
        </w:rPr>
        <w:t xml:space="preserve"> (</w:t>
      </w:r>
      <w:r w:rsidR="00F65982" w:rsidRPr="00F65982">
        <w:rPr>
          <w:rFonts w:cstheme="minorHAnsi"/>
        </w:rPr>
        <w:t>+18 mesi</w:t>
      </w:r>
      <w:r w:rsidR="00F65982">
        <w:rPr>
          <w:rFonts w:cstheme="minorHAnsi"/>
        </w:rPr>
        <w:t>).</w:t>
      </w:r>
    </w:p>
    <w:p w14:paraId="5C455CD3" w14:textId="5FC0548C" w:rsidR="00C27666" w:rsidRPr="00220139" w:rsidRDefault="002C3F24" w:rsidP="00220139">
      <w:pPr>
        <w:jc w:val="both"/>
        <w:rPr>
          <w:rFonts w:cstheme="minorHAnsi"/>
        </w:rPr>
      </w:pPr>
      <w:r w:rsidRPr="00321C55">
        <w:rPr>
          <w:rFonts w:cstheme="minorHAnsi"/>
        </w:rPr>
        <w:t xml:space="preserve">«L’aumento dei costi di realizzazione di opere preventivate in era pre-pandemica e antecedenti alla crisi energetica – conclude Cartabellotta – hanno reso inevitabile espungere un numero consistente di Case e </w:t>
      </w:r>
      <w:r w:rsidR="00520B85" w:rsidRPr="00321C55">
        <w:rPr>
          <w:rFonts w:cstheme="minorHAnsi"/>
        </w:rPr>
        <w:t xml:space="preserve">Ospedali </w:t>
      </w:r>
      <w:r w:rsidRPr="00321C55">
        <w:rPr>
          <w:rFonts w:cstheme="minorHAnsi"/>
        </w:rPr>
        <w:t xml:space="preserve">di </w:t>
      </w:r>
      <w:r w:rsidR="00520B85" w:rsidRPr="00321C55">
        <w:rPr>
          <w:rFonts w:cstheme="minorHAnsi"/>
        </w:rPr>
        <w:t xml:space="preserve">Comunità </w:t>
      </w:r>
      <w:r w:rsidRPr="00321C55">
        <w:rPr>
          <w:rFonts w:cstheme="minorHAnsi"/>
        </w:rPr>
        <w:t xml:space="preserve">e </w:t>
      </w:r>
      <w:r w:rsidR="00520B85" w:rsidRPr="00321C55">
        <w:rPr>
          <w:rFonts w:cstheme="minorHAnsi"/>
        </w:rPr>
        <w:t>Centrali Operative Territoriali</w:t>
      </w:r>
      <w:r w:rsidRPr="00321C55">
        <w:rPr>
          <w:rFonts w:cstheme="minorHAnsi"/>
        </w:rPr>
        <w:t xml:space="preserve">. Considerato che la distribuzione regionale delle opere da edificare non è omogenea, è indispensabile trovare un meccanismo di perequazione per evitare di lasciare indietro le </w:t>
      </w:r>
      <w:r w:rsidR="00173520">
        <w:rPr>
          <w:rFonts w:cstheme="minorHAnsi"/>
        </w:rPr>
        <w:t>R</w:t>
      </w:r>
      <w:r w:rsidR="00173520" w:rsidRPr="00321C55">
        <w:rPr>
          <w:rFonts w:cstheme="minorHAnsi"/>
        </w:rPr>
        <w:t xml:space="preserve">egioni </w:t>
      </w:r>
      <w:r w:rsidRPr="00321C55">
        <w:rPr>
          <w:rFonts w:cstheme="minorHAnsi"/>
        </w:rPr>
        <w:t xml:space="preserve">meridionali nel processo di potenziamento e riorganizzazione dell’assistenza territoriale, visto che </w:t>
      </w:r>
      <w:r w:rsidR="00173520">
        <w:rPr>
          <w:rFonts w:cstheme="minorHAnsi"/>
        </w:rPr>
        <w:t>tra gli</w:t>
      </w:r>
      <w:r w:rsidRPr="00321C55">
        <w:rPr>
          <w:rFonts w:cstheme="minorHAnsi"/>
        </w:rPr>
        <w:t xml:space="preserve"> obiettivi trasversali del PNRR </w:t>
      </w:r>
      <w:r w:rsidR="00173520">
        <w:rPr>
          <w:rFonts w:cstheme="minorHAnsi"/>
        </w:rPr>
        <w:t xml:space="preserve">vi </w:t>
      </w:r>
      <w:r w:rsidRPr="00321C55">
        <w:rPr>
          <w:rFonts w:cstheme="minorHAnsi"/>
        </w:rPr>
        <w:t xml:space="preserve">è </w:t>
      </w:r>
      <w:r w:rsidR="00173520">
        <w:rPr>
          <w:rFonts w:cstheme="minorHAnsi"/>
        </w:rPr>
        <w:t>proprio la riduzione dell</w:t>
      </w:r>
      <w:r w:rsidRPr="00321C55">
        <w:rPr>
          <w:rFonts w:cstheme="minorHAnsi"/>
        </w:rPr>
        <w:t xml:space="preserve">e diseguaglianze regionali. Il rifinanziamento di queste strutture </w:t>
      </w:r>
      <w:r w:rsidR="00520B85" w:rsidRPr="00321C55">
        <w:rPr>
          <w:rFonts w:cstheme="minorHAnsi"/>
        </w:rPr>
        <w:t>–</w:t>
      </w:r>
      <w:r w:rsidRPr="00321C55">
        <w:rPr>
          <w:rFonts w:cstheme="minorHAnsi"/>
        </w:rPr>
        <w:t xml:space="preserve"> come ripetutamente dichiarato dalle Istituzioni – con i fondi dell’ex. art. 20, oltre ad essere già stato ritenuto non applicabile dalle Regioni, non trova traccia nel documento approvato dalla Commissione Europea. Sicuramente positivo l’aumento degli over 65 assistiti in ADI e in telemedicina. Sull’incomprensibile taglio ai posti letto di terapia intensiva e sub-intensiva </w:t>
      </w:r>
      <w:r w:rsidR="00520B85">
        <w:rPr>
          <w:rFonts w:cstheme="minorHAnsi"/>
        </w:rPr>
        <w:t>sarebbe opportuno che le Istituzioni fornissero chiarimenti</w:t>
      </w:r>
      <w:r w:rsidRPr="00321C55">
        <w:rPr>
          <w:rFonts w:cstheme="minorHAnsi"/>
        </w:rPr>
        <w:t>».</w:t>
      </w:r>
    </w:p>
    <w:p w14:paraId="4A47ADD8" w14:textId="3CF9F554" w:rsidR="00FD63E4" w:rsidRPr="005240BD" w:rsidRDefault="00FD63E4" w:rsidP="00FD63E4">
      <w:pPr>
        <w:spacing w:after="0"/>
        <w:rPr>
          <w:rFonts w:eastAsia="Calibri" w:cstheme="minorHAnsi"/>
        </w:rPr>
      </w:pPr>
      <w:r w:rsidRPr="005240BD">
        <w:rPr>
          <w:rFonts w:eastAsia="Calibri" w:cstheme="minorHAnsi"/>
          <w:b/>
          <w:bCs/>
        </w:rPr>
        <w:t>Fondazione GIMBE</w:t>
      </w:r>
      <w:r w:rsidRPr="005240BD">
        <w:rPr>
          <w:rFonts w:eastAsia="Calibri" w:cstheme="minorHAnsi"/>
        </w:rPr>
        <w:br/>
        <w:t>Via Amendola 2 - 40121 Bologna</w:t>
      </w:r>
    </w:p>
    <w:p w14:paraId="3AE50552" w14:textId="77777777" w:rsidR="00FD63E4" w:rsidRPr="005240BD" w:rsidRDefault="00FD63E4" w:rsidP="00FD63E4">
      <w:pPr>
        <w:spacing w:after="0"/>
        <w:rPr>
          <w:rFonts w:eastAsia="Calibri" w:cstheme="minorHAnsi"/>
        </w:rPr>
      </w:pPr>
      <w:r w:rsidRPr="005240BD">
        <w:rPr>
          <w:rFonts w:eastAsia="Calibri" w:cstheme="minorHAnsi"/>
        </w:rPr>
        <w:t>Tel. 051 5883920 - Fax 051 4075774</w:t>
      </w:r>
    </w:p>
    <w:p w14:paraId="3A654865" w14:textId="7132B473" w:rsidR="0001114E" w:rsidRDefault="00FD63E4" w:rsidP="00CC3536">
      <w:pPr>
        <w:spacing w:after="0"/>
        <w:rPr>
          <w:rFonts w:eastAsia="Calibri" w:cstheme="minorHAnsi"/>
        </w:rPr>
      </w:pPr>
      <w:r w:rsidRPr="005240BD">
        <w:rPr>
          <w:rFonts w:eastAsia="Calibri" w:cstheme="minorHAnsi"/>
        </w:rPr>
        <w:t xml:space="preserve">E-mail: </w:t>
      </w:r>
      <w:hyperlink r:id="rId10" w:history="1">
        <w:r w:rsidRPr="005240BD">
          <w:rPr>
            <w:rFonts w:eastAsia="Calibri" w:cstheme="minorHAnsi"/>
          </w:rPr>
          <w:t>ufficio.stampa@gimbe.org</w:t>
        </w:r>
      </w:hyperlink>
      <w:r w:rsidR="00451586">
        <w:rPr>
          <w:rFonts w:eastAsia="Calibri" w:cstheme="minorHAnsi"/>
        </w:rPr>
        <w:br w:type="page"/>
      </w:r>
    </w:p>
    <w:p w14:paraId="4A699D6E" w14:textId="77777777" w:rsidR="0001114E" w:rsidRDefault="0001114E" w:rsidP="00851721">
      <w:pPr>
        <w:spacing w:after="0"/>
        <w:rPr>
          <w:b/>
          <w:bCs/>
          <w:color w:val="00457D"/>
          <w:sz w:val="24"/>
          <w:szCs w:val="24"/>
          <w:u w:color="00457D"/>
        </w:rPr>
      </w:pPr>
    </w:p>
    <w:p w14:paraId="2B8AA9F0" w14:textId="3475E1F9" w:rsidR="006051D7" w:rsidRDefault="00DE38A1" w:rsidP="00AB07C4">
      <w:pPr>
        <w:jc w:val="center"/>
        <w:rPr>
          <w:b/>
          <w:bCs/>
          <w:color w:val="00457D"/>
          <w:u w:color="00457D"/>
        </w:rPr>
      </w:pPr>
      <w:r>
        <w:rPr>
          <w:b/>
          <w:bCs/>
          <w:color w:val="00457D"/>
          <w:u w:color="00457D"/>
        </w:rPr>
        <w:t>Tabella</w:t>
      </w:r>
      <w:r w:rsidRPr="00AB07C4">
        <w:rPr>
          <w:b/>
          <w:bCs/>
          <w:color w:val="00457D"/>
          <w:u w:color="00457D"/>
        </w:rPr>
        <w:t xml:space="preserve"> </w:t>
      </w:r>
      <w:r w:rsidR="002F26F2">
        <w:rPr>
          <w:b/>
          <w:bCs/>
          <w:color w:val="00457D"/>
          <w:u w:color="00457D"/>
        </w:rPr>
        <w:t>1</w:t>
      </w:r>
      <w:r w:rsidR="00AB07C4" w:rsidRPr="00AB07C4">
        <w:rPr>
          <w:b/>
          <w:bCs/>
          <w:color w:val="00457D"/>
          <w:u w:color="00457D"/>
        </w:rPr>
        <w:t xml:space="preserve">. </w:t>
      </w:r>
      <w:r w:rsidR="00851721">
        <w:rPr>
          <w:b/>
          <w:bCs/>
          <w:color w:val="00457D"/>
          <w:u w:color="00457D"/>
        </w:rPr>
        <w:t>Rimodulazione PNRR Missione Salute: modifiche quantitative</w:t>
      </w:r>
    </w:p>
    <w:tbl>
      <w:tblPr>
        <w:tblStyle w:val="Grigliatabella"/>
        <w:tblW w:w="9964" w:type="dxa"/>
        <w:jc w:val="center"/>
        <w:tblBorders>
          <w:top w:val="single" w:sz="4" w:space="0" w:color="00457D"/>
          <w:left w:val="single" w:sz="4" w:space="0" w:color="00457D"/>
          <w:bottom w:val="single" w:sz="4" w:space="0" w:color="00457D"/>
          <w:right w:val="single" w:sz="4" w:space="0" w:color="00457D"/>
          <w:insideH w:val="single" w:sz="4" w:space="0" w:color="00457D"/>
          <w:insideV w:val="single" w:sz="4" w:space="0" w:color="00457D"/>
        </w:tblBorders>
        <w:tblLook w:val="04A0" w:firstRow="1" w:lastRow="0" w:firstColumn="1" w:lastColumn="0" w:noHBand="0" w:noVBand="1"/>
      </w:tblPr>
      <w:tblGrid>
        <w:gridCol w:w="1119"/>
        <w:gridCol w:w="3645"/>
        <w:gridCol w:w="2024"/>
        <w:gridCol w:w="2024"/>
        <w:gridCol w:w="1152"/>
      </w:tblGrid>
      <w:tr w:rsidR="00CC477E" w:rsidRPr="00AF4230" w14:paraId="34547870" w14:textId="77777777" w:rsidTr="00495366">
        <w:trPr>
          <w:trHeight w:val="397"/>
          <w:jc w:val="center"/>
        </w:trPr>
        <w:tc>
          <w:tcPr>
            <w:tcW w:w="1119" w:type="dxa"/>
            <w:tcBorders>
              <w:right w:val="single" w:sz="4" w:space="0" w:color="FFFFFF" w:themeColor="background1"/>
            </w:tcBorders>
            <w:shd w:val="clear" w:color="auto" w:fill="00457D"/>
            <w:vAlign w:val="center"/>
          </w:tcPr>
          <w:p w14:paraId="2121A81C" w14:textId="77777777" w:rsidR="00CC477E" w:rsidRPr="00AF4230" w:rsidRDefault="00CC477E" w:rsidP="00073C4E">
            <w:pPr>
              <w:rPr>
                <w:b/>
                <w:bCs/>
              </w:rPr>
            </w:pPr>
            <w:r w:rsidRPr="00AF4230">
              <w:rPr>
                <w:b/>
                <w:bCs/>
              </w:rPr>
              <w:t>N°</w:t>
            </w:r>
          </w:p>
        </w:tc>
        <w:tc>
          <w:tcPr>
            <w:tcW w:w="3645" w:type="dxa"/>
            <w:tcBorders>
              <w:left w:val="single" w:sz="4" w:space="0" w:color="FFFFFF" w:themeColor="background1"/>
              <w:right w:val="single" w:sz="4" w:space="0" w:color="FFFFFF" w:themeColor="background1"/>
            </w:tcBorders>
            <w:shd w:val="clear" w:color="auto" w:fill="00457D"/>
            <w:vAlign w:val="center"/>
          </w:tcPr>
          <w:p w14:paraId="233B106B" w14:textId="77777777" w:rsidR="00CC477E" w:rsidRPr="00AF4230" w:rsidRDefault="00CC477E" w:rsidP="00073C4E">
            <w:pPr>
              <w:rPr>
                <w:b/>
                <w:bCs/>
              </w:rPr>
            </w:pPr>
            <w:r w:rsidRPr="00AF4230">
              <w:rPr>
                <w:b/>
                <w:bCs/>
              </w:rPr>
              <w:t>Investimento</w:t>
            </w:r>
          </w:p>
        </w:tc>
        <w:tc>
          <w:tcPr>
            <w:tcW w:w="2024" w:type="dxa"/>
            <w:tcBorders>
              <w:left w:val="single" w:sz="4" w:space="0" w:color="FFFFFF" w:themeColor="background1"/>
              <w:right w:val="single" w:sz="4" w:space="0" w:color="FFFFFF" w:themeColor="background1"/>
            </w:tcBorders>
            <w:shd w:val="clear" w:color="auto" w:fill="00457D"/>
            <w:vAlign w:val="center"/>
          </w:tcPr>
          <w:p w14:paraId="2BF18EF9" w14:textId="6C2616DA" w:rsidR="00CC477E" w:rsidRPr="00AF4230" w:rsidRDefault="00CC477E" w:rsidP="00073C4E">
            <w:pPr>
              <w:jc w:val="center"/>
              <w:rPr>
                <w:b/>
                <w:bCs/>
              </w:rPr>
            </w:pPr>
            <w:r w:rsidRPr="00AF4230">
              <w:rPr>
                <w:b/>
                <w:bCs/>
              </w:rPr>
              <w:t xml:space="preserve">Target </w:t>
            </w:r>
            <w:r w:rsidR="00495366">
              <w:rPr>
                <w:b/>
                <w:bCs/>
              </w:rPr>
              <w:br/>
            </w:r>
            <w:r w:rsidRPr="00AF4230">
              <w:rPr>
                <w:b/>
                <w:bCs/>
              </w:rPr>
              <w:t>originale</w:t>
            </w:r>
          </w:p>
        </w:tc>
        <w:tc>
          <w:tcPr>
            <w:tcW w:w="2024" w:type="dxa"/>
            <w:tcBorders>
              <w:left w:val="single" w:sz="4" w:space="0" w:color="FFFFFF" w:themeColor="background1"/>
              <w:right w:val="single" w:sz="4" w:space="0" w:color="FFFFFF" w:themeColor="background1"/>
            </w:tcBorders>
            <w:shd w:val="clear" w:color="auto" w:fill="00457D"/>
            <w:vAlign w:val="center"/>
          </w:tcPr>
          <w:p w14:paraId="6D069F7A" w14:textId="0C47AB0D" w:rsidR="00CC477E" w:rsidRPr="00AF4230" w:rsidRDefault="00CC477E" w:rsidP="00073C4E">
            <w:pPr>
              <w:jc w:val="center"/>
              <w:rPr>
                <w:b/>
                <w:bCs/>
              </w:rPr>
            </w:pPr>
            <w:r w:rsidRPr="00AF4230">
              <w:rPr>
                <w:b/>
                <w:bCs/>
              </w:rPr>
              <w:t xml:space="preserve">Nuovo </w:t>
            </w:r>
            <w:r w:rsidR="00495366">
              <w:rPr>
                <w:b/>
                <w:bCs/>
              </w:rPr>
              <w:br/>
            </w:r>
            <w:r w:rsidRPr="00AF4230">
              <w:rPr>
                <w:b/>
                <w:bCs/>
              </w:rPr>
              <w:t>target</w:t>
            </w:r>
          </w:p>
        </w:tc>
        <w:tc>
          <w:tcPr>
            <w:tcW w:w="1152" w:type="dxa"/>
            <w:tcBorders>
              <w:left w:val="single" w:sz="4" w:space="0" w:color="FFFFFF" w:themeColor="background1"/>
            </w:tcBorders>
            <w:shd w:val="clear" w:color="auto" w:fill="00457D"/>
            <w:vAlign w:val="center"/>
          </w:tcPr>
          <w:p w14:paraId="3220EDED" w14:textId="77777777" w:rsidR="00CC477E" w:rsidRPr="00AF4230" w:rsidRDefault="00CC477E" w:rsidP="00073C4E">
            <w:pPr>
              <w:jc w:val="center"/>
              <w:rPr>
                <w:b/>
                <w:bCs/>
              </w:rPr>
            </w:pPr>
            <w:r w:rsidRPr="00AF4230">
              <w:rPr>
                <w:b/>
                <w:bCs/>
              </w:rPr>
              <w:t>Delta</w:t>
            </w:r>
          </w:p>
        </w:tc>
      </w:tr>
      <w:tr w:rsidR="00CC477E" w14:paraId="1104A8C7" w14:textId="77777777" w:rsidTr="00495366">
        <w:trPr>
          <w:trHeight w:val="397"/>
          <w:jc w:val="center"/>
        </w:trPr>
        <w:tc>
          <w:tcPr>
            <w:tcW w:w="1119" w:type="dxa"/>
            <w:vAlign w:val="center"/>
          </w:tcPr>
          <w:p w14:paraId="279D2446" w14:textId="77777777" w:rsidR="00CC477E" w:rsidRDefault="00CC477E" w:rsidP="00073C4E">
            <w:r>
              <w:t>M6C1-3</w:t>
            </w:r>
          </w:p>
        </w:tc>
        <w:tc>
          <w:tcPr>
            <w:tcW w:w="3645" w:type="dxa"/>
            <w:vAlign w:val="center"/>
          </w:tcPr>
          <w:p w14:paraId="52856520" w14:textId="77777777" w:rsidR="00CC477E" w:rsidRDefault="00CC477E" w:rsidP="00073C4E">
            <w:r>
              <w:t>Case della Comunità</w:t>
            </w:r>
          </w:p>
        </w:tc>
        <w:tc>
          <w:tcPr>
            <w:tcW w:w="2024" w:type="dxa"/>
            <w:vAlign w:val="center"/>
          </w:tcPr>
          <w:p w14:paraId="62855257" w14:textId="77777777" w:rsidR="00CC477E" w:rsidRDefault="00CC477E" w:rsidP="00073C4E">
            <w:pPr>
              <w:jc w:val="right"/>
            </w:pPr>
            <w:r>
              <w:t>1.350</w:t>
            </w:r>
          </w:p>
        </w:tc>
        <w:tc>
          <w:tcPr>
            <w:tcW w:w="2024" w:type="dxa"/>
            <w:vAlign w:val="center"/>
          </w:tcPr>
          <w:p w14:paraId="2FB4CC04" w14:textId="77777777" w:rsidR="00CC477E" w:rsidRDefault="00CC477E" w:rsidP="00073C4E">
            <w:pPr>
              <w:jc w:val="right"/>
            </w:pPr>
            <w:r>
              <w:t>1.038</w:t>
            </w:r>
          </w:p>
        </w:tc>
        <w:tc>
          <w:tcPr>
            <w:tcW w:w="1152" w:type="dxa"/>
            <w:vAlign w:val="center"/>
          </w:tcPr>
          <w:p w14:paraId="46038B52" w14:textId="77777777" w:rsidR="00CC477E" w:rsidRDefault="00CC477E" w:rsidP="00073C4E">
            <w:pPr>
              <w:jc w:val="right"/>
            </w:pPr>
            <w:r>
              <w:rPr>
                <w:rFonts w:ascii="Calibri" w:hAnsi="Calibri" w:cs="Calibri"/>
                <w:color w:val="000000"/>
              </w:rPr>
              <w:t>-312</w:t>
            </w:r>
          </w:p>
        </w:tc>
      </w:tr>
      <w:tr w:rsidR="00CC477E" w14:paraId="4149E099" w14:textId="77777777" w:rsidTr="00495366">
        <w:trPr>
          <w:trHeight w:val="397"/>
          <w:jc w:val="center"/>
        </w:trPr>
        <w:tc>
          <w:tcPr>
            <w:tcW w:w="1119" w:type="dxa"/>
            <w:vAlign w:val="center"/>
          </w:tcPr>
          <w:p w14:paraId="7ACB818D" w14:textId="77777777" w:rsidR="00CC477E" w:rsidRDefault="00CC477E" w:rsidP="00073C4E">
            <w:r>
              <w:t>M6C1-7</w:t>
            </w:r>
          </w:p>
        </w:tc>
        <w:tc>
          <w:tcPr>
            <w:tcW w:w="3645" w:type="dxa"/>
            <w:vAlign w:val="center"/>
          </w:tcPr>
          <w:p w14:paraId="6C360551" w14:textId="77777777" w:rsidR="00CC477E" w:rsidRDefault="00CC477E" w:rsidP="00073C4E">
            <w:r>
              <w:t>Centrali Operative Territoriali</w:t>
            </w:r>
          </w:p>
        </w:tc>
        <w:tc>
          <w:tcPr>
            <w:tcW w:w="2024" w:type="dxa"/>
            <w:vAlign w:val="center"/>
          </w:tcPr>
          <w:p w14:paraId="6F76E172" w14:textId="77777777" w:rsidR="00CC477E" w:rsidRDefault="00CC477E" w:rsidP="00073C4E">
            <w:pPr>
              <w:jc w:val="right"/>
            </w:pPr>
            <w:r>
              <w:t>600</w:t>
            </w:r>
          </w:p>
        </w:tc>
        <w:tc>
          <w:tcPr>
            <w:tcW w:w="2024" w:type="dxa"/>
            <w:vAlign w:val="center"/>
          </w:tcPr>
          <w:p w14:paraId="3EB3B758" w14:textId="77777777" w:rsidR="00CC477E" w:rsidRDefault="00CC477E" w:rsidP="00073C4E">
            <w:pPr>
              <w:jc w:val="right"/>
            </w:pPr>
            <w:r>
              <w:t>480</w:t>
            </w:r>
          </w:p>
        </w:tc>
        <w:tc>
          <w:tcPr>
            <w:tcW w:w="1152" w:type="dxa"/>
            <w:vAlign w:val="center"/>
          </w:tcPr>
          <w:p w14:paraId="0F8D7839" w14:textId="77777777" w:rsidR="00CC477E" w:rsidRDefault="00CC477E" w:rsidP="00073C4E">
            <w:pPr>
              <w:jc w:val="right"/>
            </w:pPr>
            <w:r>
              <w:rPr>
                <w:rFonts w:ascii="Calibri" w:hAnsi="Calibri" w:cs="Calibri"/>
                <w:color w:val="000000"/>
              </w:rPr>
              <w:t>-120</w:t>
            </w:r>
          </w:p>
        </w:tc>
      </w:tr>
      <w:tr w:rsidR="00CC477E" w14:paraId="18BE784F" w14:textId="77777777" w:rsidTr="00495366">
        <w:trPr>
          <w:trHeight w:val="397"/>
          <w:jc w:val="center"/>
        </w:trPr>
        <w:tc>
          <w:tcPr>
            <w:tcW w:w="1119" w:type="dxa"/>
            <w:vAlign w:val="center"/>
          </w:tcPr>
          <w:p w14:paraId="4A3A28C5" w14:textId="77777777" w:rsidR="00CC477E" w:rsidRDefault="00CC477E" w:rsidP="00073C4E">
            <w:r>
              <w:t>M6C1-11</w:t>
            </w:r>
          </w:p>
        </w:tc>
        <w:tc>
          <w:tcPr>
            <w:tcW w:w="3645" w:type="dxa"/>
            <w:vAlign w:val="center"/>
          </w:tcPr>
          <w:p w14:paraId="343AE994" w14:textId="77777777" w:rsidR="00CC477E" w:rsidRDefault="00CC477E" w:rsidP="00073C4E">
            <w:r>
              <w:t>Ospedali di comunità</w:t>
            </w:r>
          </w:p>
        </w:tc>
        <w:tc>
          <w:tcPr>
            <w:tcW w:w="2024" w:type="dxa"/>
            <w:vAlign w:val="center"/>
          </w:tcPr>
          <w:p w14:paraId="531FAEB4" w14:textId="77777777" w:rsidR="00CC477E" w:rsidRDefault="00CC477E" w:rsidP="00073C4E">
            <w:pPr>
              <w:jc w:val="right"/>
            </w:pPr>
            <w:r>
              <w:t>381</w:t>
            </w:r>
          </w:p>
        </w:tc>
        <w:tc>
          <w:tcPr>
            <w:tcW w:w="2024" w:type="dxa"/>
            <w:vAlign w:val="center"/>
          </w:tcPr>
          <w:p w14:paraId="017E045D" w14:textId="77777777" w:rsidR="00CC477E" w:rsidRDefault="00CC477E" w:rsidP="00073C4E">
            <w:pPr>
              <w:jc w:val="right"/>
            </w:pPr>
            <w:r>
              <w:t>307</w:t>
            </w:r>
          </w:p>
        </w:tc>
        <w:tc>
          <w:tcPr>
            <w:tcW w:w="1152" w:type="dxa"/>
            <w:vAlign w:val="center"/>
          </w:tcPr>
          <w:p w14:paraId="5A7A1683" w14:textId="77777777" w:rsidR="00CC477E" w:rsidRDefault="00CC477E" w:rsidP="00073C4E">
            <w:pPr>
              <w:jc w:val="right"/>
            </w:pPr>
            <w:r>
              <w:rPr>
                <w:rFonts w:ascii="Calibri" w:hAnsi="Calibri" w:cs="Calibri"/>
                <w:color w:val="000000"/>
              </w:rPr>
              <w:t>-74</w:t>
            </w:r>
          </w:p>
        </w:tc>
      </w:tr>
      <w:tr w:rsidR="00CC477E" w14:paraId="2622FE5C" w14:textId="77777777" w:rsidTr="00495366">
        <w:trPr>
          <w:trHeight w:val="397"/>
          <w:jc w:val="center"/>
        </w:trPr>
        <w:tc>
          <w:tcPr>
            <w:tcW w:w="1119" w:type="dxa"/>
            <w:vAlign w:val="center"/>
          </w:tcPr>
          <w:p w14:paraId="5E1A3009" w14:textId="77777777" w:rsidR="00CC477E" w:rsidRPr="002E272E" w:rsidRDefault="00CC477E" w:rsidP="00073C4E">
            <w:r>
              <w:t>M6C1-6</w:t>
            </w:r>
          </w:p>
        </w:tc>
        <w:tc>
          <w:tcPr>
            <w:tcW w:w="3645" w:type="dxa"/>
            <w:vAlign w:val="center"/>
          </w:tcPr>
          <w:p w14:paraId="2DB1B218" w14:textId="77777777" w:rsidR="00CC477E" w:rsidRPr="002E272E" w:rsidRDefault="00CC477E" w:rsidP="00073C4E">
            <w:r w:rsidRPr="002E272E">
              <w:t xml:space="preserve">Over 65 in </w:t>
            </w:r>
            <w:r>
              <w:t>assistenza domiciliare</w:t>
            </w:r>
          </w:p>
        </w:tc>
        <w:tc>
          <w:tcPr>
            <w:tcW w:w="2024" w:type="dxa"/>
            <w:vAlign w:val="center"/>
          </w:tcPr>
          <w:p w14:paraId="150A20FB" w14:textId="77777777" w:rsidR="00CC477E" w:rsidRPr="002E272E" w:rsidRDefault="00CC477E" w:rsidP="00073C4E">
            <w:pPr>
              <w:jc w:val="right"/>
            </w:pPr>
            <w:r w:rsidRPr="002E272E">
              <w:t>800.000</w:t>
            </w:r>
          </w:p>
        </w:tc>
        <w:tc>
          <w:tcPr>
            <w:tcW w:w="2024" w:type="dxa"/>
            <w:vAlign w:val="center"/>
          </w:tcPr>
          <w:p w14:paraId="40A003FE" w14:textId="77777777" w:rsidR="00CC477E" w:rsidRDefault="00CC477E" w:rsidP="00073C4E">
            <w:pPr>
              <w:jc w:val="right"/>
            </w:pPr>
            <w:r>
              <w:t>842.000</w:t>
            </w:r>
          </w:p>
        </w:tc>
        <w:tc>
          <w:tcPr>
            <w:tcW w:w="1152" w:type="dxa"/>
            <w:vAlign w:val="center"/>
          </w:tcPr>
          <w:p w14:paraId="55C5F3B3" w14:textId="77777777" w:rsidR="00CC477E" w:rsidRDefault="00CC477E" w:rsidP="00073C4E">
            <w:pPr>
              <w:jc w:val="right"/>
            </w:pPr>
            <w:r>
              <w:rPr>
                <w:rFonts w:ascii="Calibri" w:hAnsi="Calibri" w:cs="Calibri"/>
                <w:color w:val="000000"/>
              </w:rPr>
              <w:t>+42.000</w:t>
            </w:r>
          </w:p>
        </w:tc>
      </w:tr>
      <w:tr w:rsidR="00CC477E" w14:paraId="35104E8D" w14:textId="77777777" w:rsidTr="00495366">
        <w:trPr>
          <w:trHeight w:val="397"/>
          <w:jc w:val="center"/>
        </w:trPr>
        <w:tc>
          <w:tcPr>
            <w:tcW w:w="1119" w:type="dxa"/>
            <w:vAlign w:val="center"/>
          </w:tcPr>
          <w:p w14:paraId="2784CB37" w14:textId="77777777" w:rsidR="00CC477E" w:rsidRDefault="00CC477E" w:rsidP="00073C4E">
            <w:r>
              <w:t>M6C1-9</w:t>
            </w:r>
          </w:p>
        </w:tc>
        <w:tc>
          <w:tcPr>
            <w:tcW w:w="3645" w:type="dxa"/>
            <w:vAlign w:val="center"/>
          </w:tcPr>
          <w:p w14:paraId="2C74D4DF" w14:textId="77777777" w:rsidR="00CC477E" w:rsidRDefault="00CC477E" w:rsidP="00073C4E">
            <w:r>
              <w:t>Pazienti assistiti in telemedicina</w:t>
            </w:r>
          </w:p>
        </w:tc>
        <w:tc>
          <w:tcPr>
            <w:tcW w:w="2024" w:type="dxa"/>
            <w:vAlign w:val="center"/>
          </w:tcPr>
          <w:p w14:paraId="19174B53" w14:textId="77777777" w:rsidR="00CC477E" w:rsidRDefault="00CC477E" w:rsidP="00073C4E">
            <w:pPr>
              <w:jc w:val="right"/>
            </w:pPr>
            <w:r>
              <w:t>200.000</w:t>
            </w:r>
          </w:p>
        </w:tc>
        <w:tc>
          <w:tcPr>
            <w:tcW w:w="2024" w:type="dxa"/>
            <w:vAlign w:val="center"/>
          </w:tcPr>
          <w:p w14:paraId="2DB1809A" w14:textId="77777777" w:rsidR="00CC477E" w:rsidRDefault="00CC477E" w:rsidP="00073C4E">
            <w:pPr>
              <w:jc w:val="right"/>
            </w:pPr>
            <w:r>
              <w:t>300.000</w:t>
            </w:r>
          </w:p>
        </w:tc>
        <w:tc>
          <w:tcPr>
            <w:tcW w:w="1152" w:type="dxa"/>
            <w:vAlign w:val="center"/>
          </w:tcPr>
          <w:p w14:paraId="0D9F586F" w14:textId="77777777" w:rsidR="00CC477E" w:rsidRDefault="00CC477E" w:rsidP="00073C4E">
            <w:pPr>
              <w:jc w:val="right"/>
            </w:pPr>
            <w:r>
              <w:rPr>
                <w:rFonts w:ascii="Calibri" w:hAnsi="Calibri" w:cs="Calibri"/>
                <w:color w:val="000000"/>
              </w:rPr>
              <w:t>+100.000</w:t>
            </w:r>
          </w:p>
        </w:tc>
      </w:tr>
      <w:tr w:rsidR="00CC477E" w14:paraId="2FF492AF" w14:textId="77777777" w:rsidTr="00495366">
        <w:trPr>
          <w:trHeight w:val="397"/>
          <w:jc w:val="center"/>
        </w:trPr>
        <w:tc>
          <w:tcPr>
            <w:tcW w:w="1119" w:type="dxa"/>
            <w:vMerge w:val="restart"/>
            <w:vAlign w:val="center"/>
          </w:tcPr>
          <w:p w14:paraId="4DA241DA" w14:textId="77777777" w:rsidR="00CC477E" w:rsidRDefault="00CC477E" w:rsidP="00073C4E">
            <w:r>
              <w:t>M6C2-9</w:t>
            </w:r>
          </w:p>
        </w:tc>
        <w:tc>
          <w:tcPr>
            <w:tcW w:w="3645" w:type="dxa"/>
            <w:vAlign w:val="center"/>
          </w:tcPr>
          <w:p w14:paraId="64C51EBC" w14:textId="77777777" w:rsidR="00CC477E" w:rsidRDefault="00CC477E" w:rsidP="00073C4E">
            <w:r>
              <w:t>Posti terapia intensiva</w:t>
            </w:r>
          </w:p>
        </w:tc>
        <w:tc>
          <w:tcPr>
            <w:tcW w:w="2024" w:type="dxa"/>
            <w:vAlign w:val="center"/>
          </w:tcPr>
          <w:p w14:paraId="79390AA1" w14:textId="77777777" w:rsidR="00CC477E" w:rsidRDefault="00CC477E" w:rsidP="00073C4E">
            <w:pPr>
              <w:jc w:val="right"/>
            </w:pPr>
            <w:r>
              <w:t>3.500</w:t>
            </w:r>
          </w:p>
        </w:tc>
        <w:tc>
          <w:tcPr>
            <w:tcW w:w="2024" w:type="dxa"/>
            <w:vAlign w:val="center"/>
          </w:tcPr>
          <w:p w14:paraId="1C59B7C1" w14:textId="77777777" w:rsidR="00CC477E" w:rsidRDefault="00CC477E" w:rsidP="00073C4E">
            <w:pPr>
              <w:jc w:val="right"/>
            </w:pPr>
            <w:r>
              <w:t>2.692</w:t>
            </w:r>
          </w:p>
        </w:tc>
        <w:tc>
          <w:tcPr>
            <w:tcW w:w="1152" w:type="dxa"/>
            <w:vAlign w:val="center"/>
          </w:tcPr>
          <w:p w14:paraId="38EB24EE" w14:textId="77777777" w:rsidR="00CC477E" w:rsidRDefault="00CC477E" w:rsidP="00073C4E">
            <w:pPr>
              <w:jc w:val="right"/>
            </w:pPr>
            <w:r>
              <w:rPr>
                <w:rFonts w:ascii="Calibri" w:hAnsi="Calibri" w:cs="Calibri"/>
                <w:color w:val="000000"/>
              </w:rPr>
              <w:t>-808</w:t>
            </w:r>
          </w:p>
        </w:tc>
      </w:tr>
      <w:tr w:rsidR="00CC477E" w14:paraId="03612C2F" w14:textId="77777777" w:rsidTr="00495366">
        <w:trPr>
          <w:trHeight w:val="397"/>
          <w:jc w:val="center"/>
        </w:trPr>
        <w:tc>
          <w:tcPr>
            <w:tcW w:w="1119" w:type="dxa"/>
            <w:vMerge/>
            <w:vAlign w:val="center"/>
          </w:tcPr>
          <w:p w14:paraId="54ABFD58" w14:textId="77777777" w:rsidR="00CC477E" w:rsidRDefault="00CC477E" w:rsidP="00073C4E"/>
        </w:tc>
        <w:tc>
          <w:tcPr>
            <w:tcW w:w="3645" w:type="dxa"/>
            <w:vAlign w:val="center"/>
          </w:tcPr>
          <w:p w14:paraId="6522F487" w14:textId="77777777" w:rsidR="00CC477E" w:rsidRDefault="00CC477E" w:rsidP="00073C4E">
            <w:r>
              <w:t>Posti terapia sub-intensiva</w:t>
            </w:r>
          </w:p>
        </w:tc>
        <w:tc>
          <w:tcPr>
            <w:tcW w:w="2024" w:type="dxa"/>
            <w:vAlign w:val="center"/>
          </w:tcPr>
          <w:p w14:paraId="090BDDE6" w14:textId="77777777" w:rsidR="00CC477E" w:rsidRDefault="00CC477E" w:rsidP="00073C4E">
            <w:pPr>
              <w:jc w:val="right"/>
            </w:pPr>
            <w:r>
              <w:t>4.225</w:t>
            </w:r>
          </w:p>
        </w:tc>
        <w:tc>
          <w:tcPr>
            <w:tcW w:w="2024" w:type="dxa"/>
            <w:vAlign w:val="center"/>
          </w:tcPr>
          <w:p w14:paraId="274C87E3" w14:textId="77777777" w:rsidR="00CC477E" w:rsidRDefault="00CC477E" w:rsidP="00073C4E">
            <w:pPr>
              <w:jc w:val="right"/>
            </w:pPr>
            <w:r>
              <w:t>3.230</w:t>
            </w:r>
          </w:p>
        </w:tc>
        <w:tc>
          <w:tcPr>
            <w:tcW w:w="1152" w:type="dxa"/>
            <w:vAlign w:val="center"/>
          </w:tcPr>
          <w:p w14:paraId="3E05E64F" w14:textId="77777777" w:rsidR="00CC477E" w:rsidRDefault="00CC477E" w:rsidP="00073C4E">
            <w:pPr>
              <w:jc w:val="right"/>
            </w:pPr>
            <w:r>
              <w:rPr>
                <w:rFonts w:ascii="Calibri" w:hAnsi="Calibri" w:cs="Calibri"/>
                <w:color w:val="000000"/>
              </w:rPr>
              <w:t>-995</w:t>
            </w:r>
          </w:p>
        </w:tc>
      </w:tr>
      <w:tr w:rsidR="00CC477E" w14:paraId="2DF85DE2" w14:textId="77777777" w:rsidTr="00495366">
        <w:trPr>
          <w:trHeight w:val="397"/>
          <w:jc w:val="center"/>
        </w:trPr>
        <w:tc>
          <w:tcPr>
            <w:tcW w:w="1119" w:type="dxa"/>
            <w:vAlign w:val="center"/>
          </w:tcPr>
          <w:p w14:paraId="41E8C57D" w14:textId="77777777" w:rsidR="00CC477E" w:rsidRDefault="00CC477E" w:rsidP="00073C4E">
            <w:r>
              <w:t>M6C2-10</w:t>
            </w:r>
          </w:p>
        </w:tc>
        <w:tc>
          <w:tcPr>
            <w:tcW w:w="3645" w:type="dxa"/>
            <w:vAlign w:val="center"/>
          </w:tcPr>
          <w:p w14:paraId="19ED3204" w14:textId="77777777" w:rsidR="00CC477E" w:rsidRDefault="00CC477E" w:rsidP="00073C4E">
            <w:r>
              <w:t>Interventi antisismica</w:t>
            </w:r>
          </w:p>
        </w:tc>
        <w:tc>
          <w:tcPr>
            <w:tcW w:w="2024" w:type="dxa"/>
            <w:vAlign w:val="center"/>
          </w:tcPr>
          <w:p w14:paraId="3BA4829E" w14:textId="77777777" w:rsidR="00CC477E" w:rsidRDefault="00CC477E" w:rsidP="00073C4E">
            <w:pPr>
              <w:jc w:val="right"/>
            </w:pPr>
            <w:r>
              <w:t>109</w:t>
            </w:r>
          </w:p>
        </w:tc>
        <w:tc>
          <w:tcPr>
            <w:tcW w:w="2024" w:type="dxa"/>
            <w:vAlign w:val="center"/>
          </w:tcPr>
          <w:p w14:paraId="3133C5F6" w14:textId="77777777" w:rsidR="00CC477E" w:rsidRDefault="00CC477E" w:rsidP="00073C4E">
            <w:pPr>
              <w:jc w:val="right"/>
            </w:pPr>
            <w:r>
              <w:t>84</w:t>
            </w:r>
          </w:p>
        </w:tc>
        <w:tc>
          <w:tcPr>
            <w:tcW w:w="1152" w:type="dxa"/>
            <w:vAlign w:val="center"/>
          </w:tcPr>
          <w:p w14:paraId="2A3E2AB0" w14:textId="77777777" w:rsidR="00CC477E" w:rsidRDefault="00CC477E" w:rsidP="00073C4E">
            <w:pPr>
              <w:jc w:val="right"/>
            </w:pPr>
            <w:r>
              <w:rPr>
                <w:rFonts w:ascii="Calibri" w:hAnsi="Calibri" w:cs="Calibri"/>
                <w:color w:val="000000"/>
              </w:rPr>
              <w:t>-25</w:t>
            </w:r>
          </w:p>
        </w:tc>
      </w:tr>
    </w:tbl>
    <w:p w14:paraId="75AA4FCC" w14:textId="6EDC1ABA" w:rsidR="00851721" w:rsidRDefault="00851721" w:rsidP="00CC477E">
      <w:pPr>
        <w:jc w:val="center"/>
      </w:pPr>
    </w:p>
    <w:p w14:paraId="0CFA3F32" w14:textId="346639E4" w:rsidR="00851721" w:rsidRPr="00851721" w:rsidRDefault="00851721" w:rsidP="00851721">
      <w:pPr>
        <w:jc w:val="center"/>
        <w:rPr>
          <w:b/>
          <w:bCs/>
          <w:color w:val="00457D"/>
          <w:u w:color="00457D"/>
        </w:rPr>
      </w:pPr>
      <w:r>
        <w:rPr>
          <w:b/>
          <w:bCs/>
          <w:color w:val="00457D"/>
          <w:u w:color="00457D"/>
        </w:rPr>
        <w:t>Tabella</w:t>
      </w:r>
      <w:r w:rsidRPr="00AB07C4">
        <w:rPr>
          <w:b/>
          <w:bCs/>
          <w:color w:val="00457D"/>
          <w:u w:color="00457D"/>
        </w:rPr>
        <w:t xml:space="preserve"> </w:t>
      </w:r>
      <w:r>
        <w:rPr>
          <w:b/>
          <w:bCs/>
          <w:color w:val="00457D"/>
          <w:u w:color="00457D"/>
        </w:rPr>
        <w:t>2. Rimodulazione PNRR Missione Salute: differimenti delle scadenze</w:t>
      </w:r>
    </w:p>
    <w:tbl>
      <w:tblPr>
        <w:tblStyle w:val="Grigliatabella"/>
        <w:tblW w:w="9850" w:type="dxa"/>
        <w:jc w:val="center"/>
        <w:tblBorders>
          <w:top w:val="single" w:sz="4" w:space="0" w:color="00457D"/>
          <w:left w:val="single" w:sz="4" w:space="0" w:color="00457D"/>
          <w:bottom w:val="single" w:sz="4" w:space="0" w:color="00457D"/>
          <w:right w:val="single" w:sz="4" w:space="0" w:color="00457D"/>
          <w:insideH w:val="single" w:sz="4" w:space="0" w:color="00457D"/>
          <w:insideV w:val="single" w:sz="4" w:space="0" w:color="00457D"/>
        </w:tblBorders>
        <w:tblLook w:val="04A0" w:firstRow="1" w:lastRow="0" w:firstColumn="1" w:lastColumn="0" w:noHBand="0" w:noVBand="1"/>
      </w:tblPr>
      <w:tblGrid>
        <w:gridCol w:w="1107"/>
        <w:gridCol w:w="3678"/>
        <w:gridCol w:w="2024"/>
        <w:gridCol w:w="1941"/>
        <w:gridCol w:w="1100"/>
      </w:tblGrid>
      <w:tr w:rsidR="00CC477E" w:rsidRPr="00AF4230" w14:paraId="764958C7" w14:textId="77777777" w:rsidTr="00495366">
        <w:trPr>
          <w:trHeight w:val="397"/>
          <w:jc w:val="center"/>
        </w:trPr>
        <w:tc>
          <w:tcPr>
            <w:tcW w:w="1107" w:type="dxa"/>
            <w:tcBorders>
              <w:right w:val="single" w:sz="4" w:space="0" w:color="FFFFFF" w:themeColor="background1"/>
            </w:tcBorders>
            <w:shd w:val="clear" w:color="auto" w:fill="00457D"/>
            <w:vAlign w:val="center"/>
          </w:tcPr>
          <w:p w14:paraId="5C1125F1" w14:textId="77777777" w:rsidR="00CC477E" w:rsidRPr="00AF4230" w:rsidRDefault="00CC477E" w:rsidP="00073C4E">
            <w:pPr>
              <w:rPr>
                <w:b/>
                <w:bCs/>
              </w:rPr>
            </w:pPr>
            <w:r w:rsidRPr="00AF4230">
              <w:rPr>
                <w:b/>
                <w:bCs/>
              </w:rPr>
              <w:t>N°</w:t>
            </w:r>
          </w:p>
        </w:tc>
        <w:tc>
          <w:tcPr>
            <w:tcW w:w="3678" w:type="dxa"/>
            <w:tcBorders>
              <w:left w:val="single" w:sz="4" w:space="0" w:color="FFFFFF" w:themeColor="background1"/>
              <w:right w:val="single" w:sz="4" w:space="0" w:color="FFFFFF" w:themeColor="background1"/>
            </w:tcBorders>
            <w:shd w:val="clear" w:color="auto" w:fill="00457D"/>
            <w:vAlign w:val="center"/>
          </w:tcPr>
          <w:p w14:paraId="18E97402" w14:textId="77777777" w:rsidR="00CC477E" w:rsidRPr="00AF4230" w:rsidRDefault="00CC477E" w:rsidP="00073C4E">
            <w:pPr>
              <w:rPr>
                <w:b/>
                <w:bCs/>
              </w:rPr>
            </w:pPr>
            <w:r w:rsidRPr="00AF4230">
              <w:rPr>
                <w:b/>
                <w:bCs/>
              </w:rPr>
              <w:t>Investimento</w:t>
            </w:r>
          </w:p>
        </w:tc>
        <w:tc>
          <w:tcPr>
            <w:tcW w:w="2024" w:type="dxa"/>
            <w:tcBorders>
              <w:left w:val="single" w:sz="4" w:space="0" w:color="FFFFFF" w:themeColor="background1"/>
              <w:right w:val="single" w:sz="4" w:space="0" w:color="FFFFFF" w:themeColor="background1"/>
            </w:tcBorders>
            <w:shd w:val="clear" w:color="auto" w:fill="00457D"/>
            <w:vAlign w:val="center"/>
          </w:tcPr>
          <w:p w14:paraId="4F1438F5" w14:textId="3479BCF5" w:rsidR="00CC477E" w:rsidRPr="00AF4230" w:rsidRDefault="00CC477E" w:rsidP="00073C4E">
            <w:pPr>
              <w:jc w:val="center"/>
              <w:rPr>
                <w:b/>
                <w:bCs/>
              </w:rPr>
            </w:pPr>
            <w:r>
              <w:rPr>
                <w:b/>
                <w:bCs/>
              </w:rPr>
              <w:t>Scadenza</w:t>
            </w:r>
            <w:r w:rsidRPr="00AF4230">
              <w:rPr>
                <w:b/>
                <w:bCs/>
              </w:rPr>
              <w:t xml:space="preserve"> </w:t>
            </w:r>
            <w:r w:rsidR="00495366">
              <w:rPr>
                <w:b/>
                <w:bCs/>
              </w:rPr>
              <w:br/>
            </w:r>
            <w:r w:rsidRPr="00AF4230">
              <w:rPr>
                <w:b/>
                <w:bCs/>
              </w:rPr>
              <w:t>originale</w:t>
            </w:r>
          </w:p>
        </w:tc>
        <w:tc>
          <w:tcPr>
            <w:tcW w:w="1941" w:type="dxa"/>
            <w:tcBorders>
              <w:left w:val="single" w:sz="4" w:space="0" w:color="FFFFFF" w:themeColor="background1"/>
              <w:right w:val="single" w:sz="4" w:space="0" w:color="FFFFFF" w:themeColor="background1"/>
            </w:tcBorders>
            <w:shd w:val="clear" w:color="auto" w:fill="00457D"/>
            <w:vAlign w:val="center"/>
          </w:tcPr>
          <w:p w14:paraId="55D9ECBD" w14:textId="2DD288F2" w:rsidR="00CC477E" w:rsidRPr="00AF4230" w:rsidRDefault="00CC477E" w:rsidP="00073C4E">
            <w:pPr>
              <w:jc w:val="center"/>
              <w:rPr>
                <w:b/>
                <w:bCs/>
              </w:rPr>
            </w:pPr>
            <w:r w:rsidRPr="00AF4230">
              <w:rPr>
                <w:b/>
                <w:bCs/>
              </w:rPr>
              <w:t>Nuov</w:t>
            </w:r>
            <w:r>
              <w:rPr>
                <w:b/>
                <w:bCs/>
              </w:rPr>
              <w:t>a</w:t>
            </w:r>
            <w:r w:rsidRPr="00AF4230">
              <w:rPr>
                <w:b/>
                <w:bCs/>
              </w:rPr>
              <w:t xml:space="preserve"> </w:t>
            </w:r>
            <w:r w:rsidR="00495366">
              <w:rPr>
                <w:b/>
                <w:bCs/>
              </w:rPr>
              <w:br/>
            </w:r>
            <w:r>
              <w:rPr>
                <w:b/>
                <w:bCs/>
              </w:rPr>
              <w:t>scadenza</w:t>
            </w:r>
          </w:p>
        </w:tc>
        <w:tc>
          <w:tcPr>
            <w:tcW w:w="1100" w:type="dxa"/>
            <w:tcBorders>
              <w:left w:val="single" w:sz="4" w:space="0" w:color="FFFFFF" w:themeColor="background1"/>
            </w:tcBorders>
            <w:shd w:val="clear" w:color="auto" w:fill="00457D"/>
            <w:vAlign w:val="center"/>
          </w:tcPr>
          <w:p w14:paraId="245BF16B" w14:textId="77777777" w:rsidR="00CC477E" w:rsidRPr="00AF4230" w:rsidRDefault="00CC477E" w:rsidP="00073C4E">
            <w:pPr>
              <w:jc w:val="center"/>
              <w:rPr>
                <w:b/>
                <w:bCs/>
              </w:rPr>
            </w:pPr>
            <w:r w:rsidRPr="00AF4230">
              <w:rPr>
                <w:b/>
                <w:bCs/>
              </w:rPr>
              <w:t>Delta</w:t>
            </w:r>
          </w:p>
        </w:tc>
      </w:tr>
      <w:tr w:rsidR="00CC477E" w14:paraId="59CF71F5" w14:textId="77777777" w:rsidTr="00495366">
        <w:trPr>
          <w:trHeight w:val="397"/>
          <w:jc w:val="center"/>
        </w:trPr>
        <w:tc>
          <w:tcPr>
            <w:tcW w:w="1107" w:type="dxa"/>
            <w:vAlign w:val="center"/>
          </w:tcPr>
          <w:p w14:paraId="76DFD25C" w14:textId="77777777" w:rsidR="00CC477E" w:rsidRDefault="00CC477E" w:rsidP="00073C4E">
            <w:r>
              <w:t>M6C1-7</w:t>
            </w:r>
          </w:p>
        </w:tc>
        <w:tc>
          <w:tcPr>
            <w:tcW w:w="3678" w:type="dxa"/>
            <w:vAlign w:val="center"/>
          </w:tcPr>
          <w:p w14:paraId="03960E3C" w14:textId="77777777" w:rsidR="00CC477E" w:rsidRDefault="00CC477E" w:rsidP="00073C4E">
            <w:r>
              <w:t>Centrali Operative Territoriali</w:t>
            </w:r>
          </w:p>
        </w:tc>
        <w:tc>
          <w:tcPr>
            <w:tcW w:w="2024" w:type="dxa"/>
            <w:vAlign w:val="center"/>
          </w:tcPr>
          <w:p w14:paraId="2EACBC2F" w14:textId="77777777" w:rsidR="00CC477E" w:rsidRDefault="00CC477E" w:rsidP="00073C4E">
            <w:pPr>
              <w:jc w:val="right"/>
            </w:pPr>
            <w:r>
              <w:t>30 giugno 2024</w:t>
            </w:r>
          </w:p>
        </w:tc>
        <w:tc>
          <w:tcPr>
            <w:tcW w:w="1941" w:type="dxa"/>
            <w:vAlign w:val="center"/>
          </w:tcPr>
          <w:p w14:paraId="33BC2D3E" w14:textId="77777777" w:rsidR="00CC477E" w:rsidRDefault="00CC477E" w:rsidP="00073C4E">
            <w:pPr>
              <w:jc w:val="right"/>
            </w:pPr>
            <w:r>
              <w:t>31 dicembre 2024</w:t>
            </w:r>
          </w:p>
        </w:tc>
        <w:tc>
          <w:tcPr>
            <w:tcW w:w="1100" w:type="dxa"/>
            <w:vAlign w:val="center"/>
          </w:tcPr>
          <w:p w14:paraId="55207904" w14:textId="77777777" w:rsidR="00CC477E" w:rsidRDefault="00CC477E" w:rsidP="00073C4E">
            <w:pPr>
              <w:jc w:val="right"/>
            </w:pPr>
            <w:r>
              <w:t>+6 mesi</w:t>
            </w:r>
          </w:p>
        </w:tc>
      </w:tr>
      <w:tr w:rsidR="00CC477E" w14:paraId="6E3CFB91" w14:textId="77777777" w:rsidTr="00495366">
        <w:trPr>
          <w:trHeight w:val="397"/>
          <w:jc w:val="center"/>
        </w:trPr>
        <w:tc>
          <w:tcPr>
            <w:tcW w:w="1107" w:type="dxa"/>
            <w:vAlign w:val="center"/>
          </w:tcPr>
          <w:p w14:paraId="0653A63D" w14:textId="77777777" w:rsidR="00CC477E" w:rsidRDefault="00CC477E" w:rsidP="00073C4E">
            <w:r>
              <w:t>M6C2-6</w:t>
            </w:r>
          </w:p>
        </w:tc>
        <w:tc>
          <w:tcPr>
            <w:tcW w:w="3678" w:type="dxa"/>
            <w:vAlign w:val="center"/>
          </w:tcPr>
          <w:p w14:paraId="521D2AA8" w14:textId="77777777" w:rsidR="00CC477E" w:rsidRDefault="00CC477E" w:rsidP="00073C4E">
            <w:r>
              <w:t>Grandi apparecchiature</w:t>
            </w:r>
          </w:p>
        </w:tc>
        <w:tc>
          <w:tcPr>
            <w:tcW w:w="2024" w:type="dxa"/>
            <w:vAlign w:val="center"/>
          </w:tcPr>
          <w:p w14:paraId="43FA4739" w14:textId="77777777" w:rsidR="00CC477E" w:rsidRDefault="00CC477E" w:rsidP="00073C4E">
            <w:pPr>
              <w:jc w:val="right"/>
            </w:pPr>
            <w:r>
              <w:t>31 dicembre 2024</w:t>
            </w:r>
          </w:p>
        </w:tc>
        <w:tc>
          <w:tcPr>
            <w:tcW w:w="1941" w:type="dxa"/>
            <w:vAlign w:val="center"/>
          </w:tcPr>
          <w:p w14:paraId="738B2787" w14:textId="77777777" w:rsidR="00CC477E" w:rsidRDefault="00CC477E" w:rsidP="00073C4E">
            <w:pPr>
              <w:jc w:val="right"/>
            </w:pPr>
            <w:r>
              <w:t>30 giugno 2026</w:t>
            </w:r>
          </w:p>
        </w:tc>
        <w:tc>
          <w:tcPr>
            <w:tcW w:w="1100" w:type="dxa"/>
            <w:vAlign w:val="center"/>
          </w:tcPr>
          <w:p w14:paraId="3C784D5F" w14:textId="77777777" w:rsidR="00CC477E" w:rsidRDefault="00CC477E" w:rsidP="00073C4E">
            <w:pPr>
              <w:jc w:val="right"/>
            </w:pPr>
            <w:r>
              <w:t>+18 mesi</w:t>
            </w:r>
          </w:p>
        </w:tc>
      </w:tr>
    </w:tbl>
    <w:p w14:paraId="187DA026" w14:textId="77777777" w:rsidR="00851721" w:rsidRDefault="00851721" w:rsidP="00851721"/>
    <w:p w14:paraId="27C8B14F" w14:textId="0F7A16D9" w:rsidR="002F26F2" w:rsidRDefault="002F26F2" w:rsidP="00AB07C4">
      <w:pPr>
        <w:jc w:val="center"/>
        <w:rPr>
          <w:b/>
          <w:bCs/>
          <w:color w:val="00457D"/>
          <w:u w:color="00457D"/>
        </w:rPr>
      </w:pPr>
    </w:p>
    <w:p w14:paraId="59CB3F26" w14:textId="6542771C" w:rsidR="002F26F2" w:rsidRDefault="002F26F2" w:rsidP="00AB07C4">
      <w:pPr>
        <w:jc w:val="center"/>
        <w:rPr>
          <w:b/>
          <w:bCs/>
          <w:color w:val="00457D"/>
          <w:u w:color="00457D"/>
        </w:rPr>
      </w:pPr>
    </w:p>
    <w:p w14:paraId="41E05300" w14:textId="77777777" w:rsidR="002F26F2" w:rsidRPr="00AB07C4" w:rsidRDefault="002F26F2" w:rsidP="00AB07C4">
      <w:pPr>
        <w:jc w:val="center"/>
        <w:rPr>
          <w:b/>
          <w:bCs/>
          <w:color w:val="00457D"/>
          <w:u w:color="00457D"/>
        </w:rPr>
      </w:pPr>
    </w:p>
    <w:sectPr w:rsidR="002F26F2" w:rsidRPr="00AB07C4" w:rsidSect="00E1365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0105A" w14:textId="77777777" w:rsidR="006E64B5" w:rsidRDefault="006E64B5" w:rsidP="00ED0CFD">
      <w:pPr>
        <w:spacing w:after="0" w:line="240" w:lineRule="auto"/>
      </w:pPr>
      <w:r>
        <w:separator/>
      </w:r>
    </w:p>
  </w:endnote>
  <w:endnote w:type="continuationSeparator" w:id="0">
    <w:p w14:paraId="3FB95F4F" w14:textId="77777777" w:rsidR="006E64B5" w:rsidRDefault="006E64B5" w:rsidP="00ED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DCE4C" w14:textId="77777777" w:rsidR="006E64B5" w:rsidRDefault="006E64B5" w:rsidP="00ED0CFD">
      <w:pPr>
        <w:spacing w:after="0" w:line="240" w:lineRule="auto"/>
      </w:pPr>
      <w:r>
        <w:separator/>
      </w:r>
    </w:p>
  </w:footnote>
  <w:footnote w:type="continuationSeparator" w:id="0">
    <w:p w14:paraId="50B18BBA" w14:textId="77777777" w:rsidR="006E64B5" w:rsidRDefault="006E64B5" w:rsidP="00ED0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694"/>
    <w:multiLevelType w:val="hybridMultilevel"/>
    <w:tmpl w:val="78F034B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33A6F10"/>
    <w:multiLevelType w:val="hybridMultilevel"/>
    <w:tmpl w:val="1180DD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5A96166"/>
    <w:multiLevelType w:val="hybridMultilevel"/>
    <w:tmpl w:val="86E232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5DA3F0B"/>
    <w:multiLevelType w:val="multilevel"/>
    <w:tmpl w:val="A4642696"/>
    <w:lvl w:ilvl="0">
      <w:start w:val="1"/>
      <w:numFmt w:val="bullet"/>
      <w:lvlText w:val=""/>
      <w:lvlJc w:val="left"/>
      <w:pPr>
        <w:tabs>
          <w:tab w:val="num" w:pos="360"/>
        </w:tabs>
        <w:ind w:left="360" w:hanging="360"/>
      </w:pPr>
      <w:rPr>
        <w:rFonts w:ascii="Symbol" w:hAnsi="Symbol" w:hint="default"/>
        <w:color w:val="00457D"/>
        <w:sz w:val="20"/>
      </w:rPr>
    </w:lvl>
    <w:lvl w:ilvl="1">
      <w:numFmt w:val="bullet"/>
      <w:lvlText w:val="•"/>
      <w:lvlJc w:val="left"/>
      <w:pPr>
        <w:ind w:left="1080" w:hanging="360"/>
      </w:pPr>
      <w:rPr>
        <w:rFonts w:ascii="Cambria" w:eastAsiaTheme="minorEastAsia" w:hAnsi="Cambria" w:cstheme="minorBid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303867"/>
    <w:multiLevelType w:val="hybridMultilevel"/>
    <w:tmpl w:val="017AE8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5DB3606"/>
    <w:multiLevelType w:val="hybridMultilevel"/>
    <w:tmpl w:val="6AF47F8C"/>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8A073A8"/>
    <w:multiLevelType w:val="hybridMultilevel"/>
    <w:tmpl w:val="72908F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EC64119"/>
    <w:multiLevelType w:val="hybridMultilevel"/>
    <w:tmpl w:val="64D6E2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3B0603F"/>
    <w:multiLevelType w:val="hybridMultilevel"/>
    <w:tmpl w:val="518CF2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3EC557F"/>
    <w:multiLevelType w:val="hybridMultilevel"/>
    <w:tmpl w:val="426C76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6E31A9A"/>
    <w:multiLevelType w:val="hybridMultilevel"/>
    <w:tmpl w:val="7AC435C4"/>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78259EF"/>
    <w:multiLevelType w:val="hybridMultilevel"/>
    <w:tmpl w:val="D61ED1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BD829D7"/>
    <w:multiLevelType w:val="hybridMultilevel"/>
    <w:tmpl w:val="8C3C60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01B37F2"/>
    <w:multiLevelType w:val="hybridMultilevel"/>
    <w:tmpl w:val="ED0C6784"/>
    <w:lvl w:ilvl="0" w:tplc="B0AA17C6">
      <w:start w:val="1"/>
      <w:numFmt w:val="bullet"/>
      <w:lvlText w:val=""/>
      <w:lvlJc w:val="left"/>
      <w:pPr>
        <w:ind w:left="360" w:hanging="360"/>
      </w:pPr>
      <w:rPr>
        <w:rFonts w:ascii="Symbol" w:hAnsi="Symbol" w:hint="default"/>
        <w:color w:val="00457D"/>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0492829"/>
    <w:multiLevelType w:val="hybridMultilevel"/>
    <w:tmpl w:val="A9CA43B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2D84521"/>
    <w:multiLevelType w:val="hybridMultilevel"/>
    <w:tmpl w:val="ACC6C2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E46490B"/>
    <w:multiLevelType w:val="hybridMultilevel"/>
    <w:tmpl w:val="889C551A"/>
    <w:lvl w:ilvl="0" w:tplc="307C4A34">
      <w:start w:val="1"/>
      <w:numFmt w:val="bullet"/>
      <w:lvlText w:val=""/>
      <w:lvlJc w:val="left"/>
      <w:pPr>
        <w:ind w:left="360" w:hanging="360"/>
      </w:pPr>
      <w:rPr>
        <w:rFonts w:ascii="Symbol" w:hAnsi="Symbol" w:hint="default"/>
        <w:color w:val="auto"/>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EE34CBC"/>
    <w:multiLevelType w:val="hybridMultilevel"/>
    <w:tmpl w:val="F7168F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F5028A0"/>
    <w:multiLevelType w:val="hybridMultilevel"/>
    <w:tmpl w:val="C9FEBD5A"/>
    <w:lvl w:ilvl="0" w:tplc="A914E83C">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AC09CE"/>
    <w:multiLevelType w:val="hybridMultilevel"/>
    <w:tmpl w:val="989C49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82628E5"/>
    <w:multiLevelType w:val="hybridMultilevel"/>
    <w:tmpl w:val="2ABA6530"/>
    <w:lvl w:ilvl="0" w:tplc="FC6C4C0E">
      <w:start w:val="2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8CD1426"/>
    <w:multiLevelType w:val="hybridMultilevel"/>
    <w:tmpl w:val="4CA0E6EA"/>
    <w:lvl w:ilvl="0" w:tplc="5166346A">
      <w:start w:val="1"/>
      <w:numFmt w:val="bullet"/>
      <w:lvlText w:val="•"/>
      <w:lvlJc w:val="left"/>
      <w:pPr>
        <w:tabs>
          <w:tab w:val="num" w:pos="720"/>
        </w:tabs>
        <w:ind w:left="720" w:hanging="360"/>
      </w:pPr>
      <w:rPr>
        <w:rFonts w:ascii="Times New Roman" w:hAnsi="Times New Roman" w:cs="Times New Roman" w:hint="default"/>
      </w:rPr>
    </w:lvl>
    <w:lvl w:ilvl="1" w:tplc="199E43A6">
      <w:start w:val="1"/>
      <w:numFmt w:val="bullet"/>
      <w:lvlText w:val="•"/>
      <w:lvlJc w:val="left"/>
      <w:pPr>
        <w:tabs>
          <w:tab w:val="num" w:pos="1440"/>
        </w:tabs>
        <w:ind w:left="1440" w:hanging="360"/>
      </w:pPr>
      <w:rPr>
        <w:rFonts w:ascii="Times New Roman" w:hAnsi="Times New Roman" w:cs="Times New Roman" w:hint="default"/>
      </w:rPr>
    </w:lvl>
    <w:lvl w:ilvl="2" w:tplc="A1502A9E">
      <w:start w:val="1"/>
      <w:numFmt w:val="bullet"/>
      <w:lvlText w:val="•"/>
      <w:lvlJc w:val="left"/>
      <w:pPr>
        <w:tabs>
          <w:tab w:val="num" w:pos="2160"/>
        </w:tabs>
        <w:ind w:left="2160" w:hanging="360"/>
      </w:pPr>
      <w:rPr>
        <w:rFonts w:ascii="Times New Roman" w:hAnsi="Times New Roman" w:cs="Times New Roman" w:hint="default"/>
      </w:rPr>
    </w:lvl>
    <w:lvl w:ilvl="3" w:tplc="4994264A">
      <w:start w:val="1"/>
      <w:numFmt w:val="bullet"/>
      <w:lvlText w:val="•"/>
      <w:lvlJc w:val="left"/>
      <w:pPr>
        <w:tabs>
          <w:tab w:val="num" w:pos="2880"/>
        </w:tabs>
        <w:ind w:left="2880" w:hanging="360"/>
      </w:pPr>
      <w:rPr>
        <w:rFonts w:ascii="Times New Roman" w:hAnsi="Times New Roman" w:cs="Times New Roman" w:hint="default"/>
      </w:rPr>
    </w:lvl>
    <w:lvl w:ilvl="4" w:tplc="3E40A376">
      <w:start w:val="1"/>
      <w:numFmt w:val="bullet"/>
      <w:lvlText w:val="•"/>
      <w:lvlJc w:val="left"/>
      <w:pPr>
        <w:tabs>
          <w:tab w:val="num" w:pos="3600"/>
        </w:tabs>
        <w:ind w:left="3600" w:hanging="360"/>
      </w:pPr>
      <w:rPr>
        <w:rFonts w:ascii="Times New Roman" w:hAnsi="Times New Roman" w:cs="Times New Roman" w:hint="default"/>
      </w:rPr>
    </w:lvl>
    <w:lvl w:ilvl="5" w:tplc="7F26466A">
      <w:start w:val="1"/>
      <w:numFmt w:val="bullet"/>
      <w:lvlText w:val="•"/>
      <w:lvlJc w:val="left"/>
      <w:pPr>
        <w:tabs>
          <w:tab w:val="num" w:pos="4320"/>
        </w:tabs>
        <w:ind w:left="4320" w:hanging="360"/>
      </w:pPr>
      <w:rPr>
        <w:rFonts w:ascii="Times New Roman" w:hAnsi="Times New Roman" w:cs="Times New Roman" w:hint="default"/>
      </w:rPr>
    </w:lvl>
    <w:lvl w:ilvl="6" w:tplc="DDF46EFE">
      <w:start w:val="1"/>
      <w:numFmt w:val="bullet"/>
      <w:lvlText w:val="•"/>
      <w:lvlJc w:val="left"/>
      <w:pPr>
        <w:tabs>
          <w:tab w:val="num" w:pos="5040"/>
        </w:tabs>
        <w:ind w:left="5040" w:hanging="360"/>
      </w:pPr>
      <w:rPr>
        <w:rFonts w:ascii="Times New Roman" w:hAnsi="Times New Roman" w:cs="Times New Roman" w:hint="default"/>
      </w:rPr>
    </w:lvl>
    <w:lvl w:ilvl="7" w:tplc="8698ED2E">
      <w:start w:val="1"/>
      <w:numFmt w:val="bullet"/>
      <w:lvlText w:val="•"/>
      <w:lvlJc w:val="left"/>
      <w:pPr>
        <w:tabs>
          <w:tab w:val="num" w:pos="5760"/>
        </w:tabs>
        <w:ind w:left="5760" w:hanging="360"/>
      </w:pPr>
      <w:rPr>
        <w:rFonts w:ascii="Times New Roman" w:hAnsi="Times New Roman" w:cs="Times New Roman" w:hint="default"/>
      </w:rPr>
    </w:lvl>
    <w:lvl w:ilvl="8" w:tplc="C78AA426">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4FF1232A"/>
    <w:multiLevelType w:val="multilevel"/>
    <w:tmpl w:val="5AA4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64247"/>
    <w:multiLevelType w:val="hybridMultilevel"/>
    <w:tmpl w:val="A0A2ED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5229DE"/>
    <w:multiLevelType w:val="hybridMultilevel"/>
    <w:tmpl w:val="E9003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C659F4"/>
    <w:multiLevelType w:val="hybridMultilevel"/>
    <w:tmpl w:val="3A8A0F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D4F6FED"/>
    <w:multiLevelType w:val="hybridMultilevel"/>
    <w:tmpl w:val="3CEEFA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06E2BA6"/>
    <w:multiLevelType w:val="hybridMultilevel"/>
    <w:tmpl w:val="9B20C5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1303CF9"/>
    <w:multiLevelType w:val="hybridMultilevel"/>
    <w:tmpl w:val="76B8F694"/>
    <w:lvl w:ilvl="0" w:tplc="49F6B3C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20C3AF4"/>
    <w:multiLevelType w:val="hybridMultilevel"/>
    <w:tmpl w:val="E8D49A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498684C"/>
    <w:multiLevelType w:val="hybridMultilevel"/>
    <w:tmpl w:val="E14CD5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4D05463"/>
    <w:multiLevelType w:val="hybridMultilevel"/>
    <w:tmpl w:val="60E00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D132C9"/>
    <w:multiLevelType w:val="hybridMultilevel"/>
    <w:tmpl w:val="31CE2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0600FA"/>
    <w:multiLevelType w:val="hybridMultilevel"/>
    <w:tmpl w:val="8DEC3E5A"/>
    <w:lvl w:ilvl="0" w:tplc="4EF8FB64">
      <w:start w:val="1"/>
      <w:numFmt w:val="bullet"/>
      <w:lvlText w:val=""/>
      <w:lvlJc w:val="left"/>
      <w:pPr>
        <w:ind w:left="360" w:hanging="360"/>
      </w:pPr>
      <w:rPr>
        <w:rFonts w:ascii="Symbol" w:hAnsi="Symbol" w:hint="default"/>
        <w:color w:val="4F81BD" w:themeColor="accent1"/>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DB46163"/>
    <w:multiLevelType w:val="hybridMultilevel"/>
    <w:tmpl w:val="B51EB5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FA854BC"/>
    <w:multiLevelType w:val="multilevel"/>
    <w:tmpl w:val="E098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A4102E"/>
    <w:multiLevelType w:val="hybridMultilevel"/>
    <w:tmpl w:val="BA2E0D1E"/>
    <w:lvl w:ilvl="0" w:tplc="96549FDE">
      <w:start w:val="1"/>
      <w:numFmt w:val="bullet"/>
      <w:lvlText w:val=""/>
      <w:lvlJc w:val="left"/>
      <w:pPr>
        <w:ind w:left="360" w:hanging="360"/>
      </w:pPr>
      <w:rPr>
        <w:rFonts w:ascii="Symbol" w:hAnsi="Symbol" w:hint="default"/>
        <w:color w:val="00457D"/>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75591BA8"/>
    <w:multiLevelType w:val="hybridMultilevel"/>
    <w:tmpl w:val="BFA0DF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4523CF"/>
    <w:multiLevelType w:val="hybridMultilevel"/>
    <w:tmpl w:val="F2787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2879B0"/>
    <w:multiLevelType w:val="hybridMultilevel"/>
    <w:tmpl w:val="41CA392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39"/>
  </w:num>
  <w:num w:numId="2">
    <w:abstractNumId w:val="34"/>
  </w:num>
  <w:num w:numId="3">
    <w:abstractNumId w:val="20"/>
  </w:num>
  <w:num w:numId="4">
    <w:abstractNumId w:val="35"/>
  </w:num>
  <w:num w:numId="5">
    <w:abstractNumId w:val="22"/>
  </w:num>
  <w:num w:numId="6">
    <w:abstractNumId w:val="18"/>
  </w:num>
  <w:num w:numId="7">
    <w:abstractNumId w:val="29"/>
  </w:num>
  <w:num w:numId="8">
    <w:abstractNumId w:val="27"/>
  </w:num>
  <w:num w:numId="9">
    <w:abstractNumId w:val="5"/>
  </w:num>
  <w:num w:numId="10">
    <w:abstractNumId w:val="6"/>
  </w:num>
  <w:num w:numId="11">
    <w:abstractNumId w:val="11"/>
  </w:num>
  <w:num w:numId="12">
    <w:abstractNumId w:val="12"/>
  </w:num>
  <w:num w:numId="13">
    <w:abstractNumId w:val="24"/>
  </w:num>
  <w:num w:numId="14">
    <w:abstractNumId w:val="8"/>
  </w:num>
  <w:num w:numId="15">
    <w:abstractNumId w:val="23"/>
  </w:num>
  <w:num w:numId="16">
    <w:abstractNumId w:val="37"/>
  </w:num>
  <w:num w:numId="17">
    <w:abstractNumId w:val="21"/>
  </w:num>
  <w:num w:numId="18">
    <w:abstractNumId w:val="16"/>
  </w:num>
  <w:num w:numId="19">
    <w:abstractNumId w:val="33"/>
  </w:num>
  <w:num w:numId="20">
    <w:abstractNumId w:val="28"/>
  </w:num>
  <w:num w:numId="21">
    <w:abstractNumId w:val="7"/>
  </w:num>
  <w:num w:numId="22">
    <w:abstractNumId w:val="25"/>
  </w:num>
  <w:num w:numId="23">
    <w:abstractNumId w:val="17"/>
  </w:num>
  <w:num w:numId="24">
    <w:abstractNumId w:val="10"/>
  </w:num>
  <w:num w:numId="25">
    <w:abstractNumId w:val="4"/>
  </w:num>
  <w:num w:numId="26">
    <w:abstractNumId w:val="13"/>
  </w:num>
  <w:num w:numId="27">
    <w:abstractNumId w:val="36"/>
  </w:num>
  <w:num w:numId="28">
    <w:abstractNumId w:val="26"/>
  </w:num>
  <w:num w:numId="29">
    <w:abstractNumId w:val="0"/>
  </w:num>
  <w:num w:numId="30">
    <w:abstractNumId w:val="9"/>
  </w:num>
  <w:num w:numId="31">
    <w:abstractNumId w:val="38"/>
  </w:num>
  <w:num w:numId="32">
    <w:abstractNumId w:val="15"/>
  </w:num>
  <w:num w:numId="33">
    <w:abstractNumId w:val="3"/>
  </w:num>
  <w:num w:numId="34">
    <w:abstractNumId w:val="32"/>
  </w:num>
  <w:num w:numId="35">
    <w:abstractNumId w:val="31"/>
  </w:num>
  <w:num w:numId="36">
    <w:abstractNumId w:val="14"/>
  </w:num>
  <w:num w:numId="37">
    <w:abstractNumId w:val="30"/>
  </w:num>
  <w:num w:numId="38">
    <w:abstractNumId w:val="1"/>
  </w:num>
  <w:num w:numId="39">
    <w:abstractNumId w:val="1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91"/>
    <w:rsid w:val="000007FC"/>
    <w:rsid w:val="0000149C"/>
    <w:rsid w:val="000017A8"/>
    <w:rsid w:val="00002AAC"/>
    <w:rsid w:val="00002C1B"/>
    <w:rsid w:val="0000302F"/>
    <w:rsid w:val="00003744"/>
    <w:rsid w:val="00003F78"/>
    <w:rsid w:val="00004B0A"/>
    <w:rsid w:val="00005B25"/>
    <w:rsid w:val="000064FE"/>
    <w:rsid w:val="00006555"/>
    <w:rsid w:val="0000695A"/>
    <w:rsid w:val="000073CA"/>
    <w:rsid w:val="00010498"/>
    <w:rsid w:val="0001114E"/>
    <w:rsid w:val="000123C4"/>
    <w:rsid w:val="00012D14"/>
    <w:rsid w:val="0001384A"/>
    <w:rsid w:val="00013DFA"/>
    <w:rsid w:val="0001439D"/>
    <w:rsid w:val="00015D8E"/>
    <w:rsid w:val="00016F94"/>
    <w:rsid w:val="00017968"/>
    <w:rsid w:val="00017FB4"/>
    <w:rsid w:val="0002141B"/>
    <w:rsid w:val="00021D7F"/>
    <w:rsid w:val="00023A72"/>
    <w:rsid w:val="00023D8A"/>
    <w:rsid w:val="000252D2"/>
    <w:rsid w:val="00032FB7"/>
    <w:rsid w:val="00034188"/>
    <w:rsid w:val="000346D7"/>
    <w:rsid w:val="00035404"/>
    <w:rsid w:val="00035C47"/>
    <w:rsid w:val="00036089"/>
    <w:rsid w:val="0004091F"/>
    <w:rsid w:val="0004410A"/>
    <w:rsid w:val="00051F7A"/>
    <w:rsid w:val="00053C82"/>
    <w:rsid w:val="0005402C"/>
    <w:rsid w:val="00054250"/>
    <w:rsid w:val="00055180"/>
    <w:rsid w:val="00055AE9"/>
    <w:rsid w:val="00055D27"/>
    <w:rsid w:val="000602AA"/>
    <w:rsid w:val="000615B8"/>
    <w:rsid w:val="0006440E"/>
    <w:rsid w:val="000657A8"/>
    <w:rsid w:val="000662E3"/>
    <w:rsid w:val="00067ACA"/>
    <w:rsid w:val="00067B8F"/>
    <w:rsid w:val="000707B3"/>
    <w:rsid w:val="00070C28"/>
    <w:rsid w:val="00070D04"/>
    <w:rsid w:val="000715A9"/>
    <w:rsid w:val="00071F0A"/>
    <w:rsid w:val="00072977"/>
    <w:rsid w:val="00073870"/>
    <w:rsid w:val="00074788"/>
    <w:rsid w:val="000751C3"/>
    <w:rsid w:val="00075BA4"/>
    <w:rsid w:val="000767AE"/>
    <w:rsid w:val="00076A48"/>
    <w:rsid w:val="000771A4"/>
    <w:rsid w:val="000815B7"/>
    <w:rsid w:val="00085590"/>
    <w:rsid w:val="000863FA"/>
    <w:rsid w:val="00090A39"/>
    <w:rsid w:val="00090B7E"/>
    <w:rsid w:val="00090CF8"/>
    <w:rsid w:val="000927C7"/>
    <w:rsid w:val="000935F1"/>
    <w:rsid w:val="00093756"/>
    <w:rsid w:val="000941D8"/>
    <w:rsid w:val="00095589"/>
    <w:rsid w:val="000A0FC3"/>
    <w:rsid w:val="000A1367"/>
    <w:rsid w:val="000A145D"/>
    <w:rsid w:val="000A15DB"/>
    <w:rsid w:val="000A2084"/>
    <w:rsid w:val="000A226B"/>
    <w:rsid w:val="000A47FF"/>
    <w:rsid w:val="000A58EB"/>
    <w:rsid w:val="000A62A9"/>
    <w:rsid w:val="000A78E3"/>
    <w:rsid w:val="000A7B66"/>
    <w:rsid w:val="000A7EA1"/>
    <w:rsid w:val="000B07B0"/>
    <w:rsid w:val="000B10CE"/>
    <w:rsid w:val="000B15C0"/>
    <w:rsid w:val="000B185F"/>
    <w:rsid w:val="000B1C52"/>
    <w:rsid w:val="000B2168"/>
    <w:rsid w:val="000B50CD"/>
    <w:rsid w:val="000B7985"/>
    <w:rsid w:val="000C098C"/>
    <w:rsid w:val="000C0B04"/>
    <w:rsid w:val="000C344B"/>
    <w:rsid w:val="000C544C"/>
    <w:rsid w:val="000C6130"/>
    <w:rsid w:val="000C6F74"/>
    <w:rsid w:val="000D02E4"/>
    <w:rsid w:val="000D1377"/>
    <w:rsid w:val="000D17FB"/>
    <w:rsid w:val="000D25AC"/>
    <w:rsid w:val="000D3C58"/>
    <w:rsid w:val="000D44D4"/>
    <w:rsid w:val="000D5771"/>
    <w:rsid w:val="000D5893"/>
    <w:rsid w:val="000D7252"/>
    <w:rsid w:val="000D7A72"/>
    <w:rsid w:val="000E27C9"/>
    <w:rsid w:val="000E2E4F"/>
    <w:rsid w:val="000E3E10"/>
    <w:rsid w:val="000E5ABF"/>
    <w:rsid w:val="000E6B01"/>
    <w:rsid w:val="000E7CC2"/>
    <w:rsid w:val="000F0BBD"/>
    <w:rsid w:val="000F10F8"/>
    <w:rsid w:val="000F1B54"/>
    <w:rsid w:val="000F1DE1"/>
    <w:rsid w:val="000F2AE1"/>
    <w:rsid w:val="000F39EF"/>
    <w:rsid w:val="000F5C0F"/>
    <w:rsid w:val="0010059E"/>
    <w:rsid w:val="001020FC"/>
    <w:rsid w:val="001035E4"/>
    <w:rsid w:val="00103A7B"/>
    <w:rsid w:val="001043DB"/>
    <w:rsid w:val="00104A66"/>
    <w:rsid w:val="001056AE"/>
    <w:rsid w:val="0010685E"/>
    <w:rsid w:val="00107096"/>
    <w:rsid w:val="00107293"/>
    <w:rsid w:val="00107984"/>
    <w:rsid w:val="001106B1"/>
    <w:rsid w:val="0011205F"/>
    <w:rsid w:val="00112B52"/>
    <w:rsid w:val="001139A6"/>
    <w:rsid w:val="00113D4A"/>
    <w:rsid w:val="00113F3C"/>
    <w:rsid w:val="00114F21"/>
    <w:rsid w:val="001167D9"/>
    <w:rsid w:val="0011796A"/>
    <w:rsid w:val="00117F68"/>
    <w:rsid w:val="00122425"/>
    <w:rsid w:val="00125838"/>
    <w:rsid w:val="00125C6A"/>
    <w:rsid w:val="001262A5"/>
    <w:rsid w:val="00126E63"/>
    <w:rsid w:val="00127A78"/>
    <w:rsid w:val="001317CF"/>
    <w:rsid w:val="00132082"/>
    <w:rsid w:val="00134C8C"/>
    <w:rsid w:val="00136F1C"/>
    <w:rsid w:val="001374E5"/>
    <w:rsid w:val="001412DC"/>
    <w:rsid w:val="0014334C"/>
    <w:rsid w:val="00143689"/>
    <w:rsid w:val="00144F94"/>
    <w:rsid w:val="001453D6"/>
    <w:rsid w:val="001458FE"/>
    <w:rsid w:val="001471AF"/>
    <w:rsid w:val="001504F4"/>
    <w:rsid w:val="00150EF3"/>
    <w:rsid w:val="00151D12"/>
    <w:rsid w:val="0015229D"/>
    <w:rsid w:val="001560D3"/>
    <w:rsid w:val="00156B6C"/>
    <w:rsid w:val="00162FBC"/>
    <w:rsid w:val="0016375C"/>
    <w:rsid w:val="00163D48"/>
    <w:rsid w:val="00163DB0"/>
    <w:rsid w:val="001644BA"/>
    <w:rsid w:val="001654A5"/>
    <w:rsid w:val="00170760"/>
    <w:rsid w:val="00170B46"/>
    <w:rsid w:val="00171767"/>
    <w:rsid w:val="00173520"/>
    <w:rsid w:val="00173764"/>
    <w:rsid w:val="0017405D"/>
    <w:rsid w:val="001748BA"/>
    <w:rsid w:val="00181DF1"/>
    <w:rsid w:val="00185966"/>
    <w:rsid w:val="00192B35"/>
    <w:rsid w:val="00192DAD"/>
    <w:rsid w:val="00192F75"/>
    <w:rsid w:val="00193C55"/>
    <w:rsid w:val="00193F19"/>
    <w:rsid w:val="00194C03"/>
    <w:rsid w:val="001A2449"/>
    <w:rsid w:val="001A2747"/>
    <w:rsid w:val="001A2F98"/>
    <w:rsid w:val="001A3E0D"/>
    <w:rsid w:val="001A3E96"/>
    <w:rsid w:val="001A6042"/>
    <w:rsid w:val="001A6181"/>
    <w:rsid w:val="001A7017"/>
    <w:rsid w:val="001A73CD"/>
    <w:rsid w:val="001A76F9"/>
    <w:rsid w:val="001B46A1"/>
    <w:rsid w:val="001B59E3"/>
    <w:rsid w:val="001C0EFC"/>
    <w:rsid w:val="001C51E2"/>
    <w:rsid w:val="001C5A39"/>
    <w:rsid w:val="001C7324"/>
    <w:rsid w:val="001D0114"/>
    <w:rsid w:val="001D0E41"/>
    <w:rsid w:val="001D153D"/>
    <w:rsid w:val="001D19F1"/>
    <w:rsid w:val="001D240E"/>
    <w:rsid w:val="001D2E25"/>
    <w:rsid w:val="001D38B9"/>
    <w:rsid w:val="001D3F96"/>
    <w:rsid w:val="001D4CE8"/>
    <w:rsid w:val="001D7259"/>
    <w:rsid w:val="001E0D38"/>
    <w:rsid w:val="001E42B9"/>
    <w:rsid w:val="001E53AB"/>
    <w:rsid w:val="001E5654"/>
    <w:rsid w:val="001E6902"/>
    <w:rsid w:val="001F1C35"/>
    <w:rsid w:val="001F20B8"/>
    <w:rsid w:val="0020092D"/>
    <w:rsid w:val="002020DB"/>
    <w:rsid w:val="00202A01"/>
    <w:rsid w:val="0020319A"/>
    <w:rsid w:val="0020435A"/>
    <w:rsid w:val="00206047"/>
    <w:rsid w:val="0020636A"/>
    <w:rsid w:val="002073BD"/>
    <w:rsid w:val="00207B90"/>
    <w:rsid w:val="00210158"/>
    <w:rsid w:val="00210584"/>
    <w:rsid w:val="0021155E"/>
    <w:rsid w:val="0021408F"/>
    <w:rsid w:val="00220139"/>
    <w:rsid w:val="0022389A"/>
    <w:rsid w:val="00223F01"/>
    <w:rsid w:val="00223F25"/>
    <w:rsid w:val="00224E88"/>
    <w:rsid w:val="0022532C"/>
    <w:rsid w:val="00231196"/>
    <w:rsid w:val="002319C0"/>
    <w:rsid w:val="00233A2C"/>
    <w:rsid w:val="00233EF5"/>
    <w:rsid w:val="002349C3"/>
    <w:rsid w:val="00234FBF"/>
    <w:rsid w:val="002357E8"/>
    <w:rsid w:val="00235FC2"/>
    <w:rsid w:val="0023771D"/>
    <w:rsid w:val="00241E9C"/>
    <w:rsid w:val="00242077"/>
    <w:rsid w:val="00243B76"/>
    <w:rsid w:val="00243F05"/>
    <w:rsid w:val="0024623B"/>
    <w:rsid w:val="00247D33"/>
    <w:rsid w:val="0025100A"/>
    <w:rsid w:val="00251386"/>
    <w:rsid w:val="00251A17"/>
    <w:rsid w:val="00251AC2"/>
    <w:rsid w:val="00251D02"/>
    <w:rsid w:val="00252E47"/>
    <w:rsid w:val="002534BD"/>
    <w:rsid w:val="002551A1"/>
    <w:rsid w:val="002576D2"/>
    <w:rsid w:val="00260A01"/>
    <w:rsid w:val="00261479"/>
    <w:rsid w:val="00261EC6"/>
    <w:rsid w:val="00262274"/>
    <w:rsid w:val="00264F8C"/>
    <w:rsid w:val="00265B05"/>
    <w:rsid w:val="00266561"/>
    <w:rsid w:val="00266E0C"/>
    <w:rsid w:val="00266E1A"/>
    <w:rsid w:val="00270DED"/>
    <w:rsid w:val="002723FC"/>
    <w:rsid w:val="0027468B"/>
    <w:rsid w:val="00281907"/>
    <w:rsid w:val="00282655"/>
    <w:rsid w:val="00282DAE"/>
    <w:rsid w:val="00284792"/>
    <w:rsid w:val="00287105"/>
    <w:rsid w:val="00287452"/>
    <w:rsid w:val="00290CC2"/>
    <w:rsid w:val="00291602"/>
    <w:rsid w:val="00293854"/>
    <w:rsid w:val="0029392F"/>
    <w:rsid w:val="00293D0A"/>
    <w:rsid w:val="0029425C"/>
    <w:rsid w:val="00295866"/>
    <w:rsid w:val="00296F33"/>
    <w:rsid w:val="00297583"/>
    <w:rsid w:val="002A2034"/>
    <w:rsid w:val="002A3232"/>
    <w:rsid w:val="002A3622"/>
    <w:rsid w:val="002A41A8"/>
    <w:rsid w:val="002A5A93"/>
    <w:rsid w:val="002B0FB4"/>
    <w:rsid w:val="002B12E6"/>
    <w:rsid w:val="002B1329"/>
    <w:rsid w:val="002B57EE"/>
    <w:rsid w:val="002B63E5"/>
    <w:rsid w:val="002B7295"/>
    <w:rsid w:val="002B7C26"/>
    <w:rsid w:val="002B7F03"/>
    <w:rsid w:val="002C09A6"/>
    <w:rsid w:val="002C0B56"/>
    <w:rsid w:val="002C0B93"/>
    <w:rsid w:val="002C0F1B"/>
    <w:rsid w:val="002C11E2"/>
    <w:rsid w:val="002C12EF"/>
    <w:rsid w:val="002C22CC"/>
    <w:rsid w:val="002C2FB0"/>
    <w:rsid w:val="002C3F24"/>
    <w:rsid w:val="002C4190"/>
    <w:rsid w:val="002C433C"/>
    <w:rsid w:val="002C4460"/>
    <w:rsid w:val="002C5187"/>
    <w:rsid w:val="002C5517"/>
    <w:rsid w:val="002C6CDA"/>
    <w:rsid w:val="002D0078"/>
    <w:rsid w:val="002D1354"/>
    <w:rsid w:val="002D1A9D"/>
    <w:rsid w:val="002D1CBC"/>
    <w:rsid w:val="002D2C39"/>
    <w:rsid w:val="002D390F"/>
    <w:rsid w:val="002D4CBE"/>
    <w:rsid w:val="002D4D2D"/>
    <w:rsid w:val="002D513D"/>
    <w:rsid w:val="002D61E1"/>
    <w:rsid w:val="002D7409"/>
    <w:rsid w:val="002E2D66"/>
    <w:rsid w:val="002E33A2"/>
    <w:rsid w:val="002E3609"/>
    <w:rsid w:val="002E384A"/>
    <w:rsid w:val="002E5382"/>
    <w:rsid w:val="002E5E3C"/>
    <w:rsid w:val="002F07F4"/>
    <w:rsid w:val="002F26F2"/>
    <w:rsid w:val="002F2E6A"/>
    <w:rsid w:val="002F323D"/>
    <w:rsid w:val="002F605D"/>
    <w:rsid w:val="00300EF7"/>
    <w:rsid w:val="0030187D"/>
    <w:rsid w:val="00301A08"/>
    <w:rsid w:val="003029E5"/>
    <w:rsid w:val="0030437B"/>
    <w:rsid w:val="00305113"/>
    <w:rsid w:val="00310511"/>
    <w:rsid w:val="00310654"/>
    <w:rsid w:val="00311E5C"/>
    <w:rsid w:val="003121F3"/>
    <w:rsid w:val="00313AD1"/>
    <w:rsid w:val="00315407"/>
    <w:rsid w:val="00315734"/>
    <w:rsid w:val="0031648A"/>
    <w:rsid w:val="0031755E"/>
    <w:rsid w:val="003210E2"/>
    <w:rsid w:val="00321C3D"/>
    <w:rsid w:val="00321C55"/>
    <w:rsid w:val="00322567"/>
    <w:rsid w:val="00323798"/>
    <w:rsid w:val="00323A55"/>
    <w:rsid w:val="00325E98"/>
    <w:rsid w:val="003268D1"/>
    <w:rsid w:val="00326ABC"/>
    <w:rsid w:val="00326DCF"/>
    <w:rsid w:val="00327AF0"/>
    <w:rsid w:val="00327D9D"/>
    <w:rsid w:val="00330694"/>
    <w:rsid w:val="00330A9B"/>
    <w:rsid w:val="00331497"/>
    <w:rsid w:val="00331B49"/>
    <w:rsid w:val="00331F29"/>
    <w:rsid w:val="003331B5"/>
    <w:rsid w:val="00333A1D"/>
    <w:rsid w:val="0033460B"/>
    <w:rsid w:val="00334F92"/>
    <w:rsid w:val="00335E0B"/>
    <w:rsid w:val="0033752D"/>
    <w:rsid w:val="00341267"/>
    <w:rsid w:val="0034210D"/>
    <w:rsid w:val="003421BE"/>
    <w:rsid w:val="0034291E"/>
    <w:rsid w:val="003456F8"/>
    <w:rsid w:val="00346324"/>
    <w:rsid w:val="0034685B"/>
    <w:rsid w:val="00347675"/>
    <w:rsid w:val="00347BD4"/>
    <w:rsid w:val="00347CD5"/>
    <w:rsid w:val="00350B80"/>
    <w:rsid w:val="00351462"/>
    <w:rsid w:val="00353E36"/>
    <w:rsid w:val="00354809"/>
    <w:rsid w:val="00354ACD"/>
    <w:rsid w:val="003554E0"/>
    <w:rsid w:val="00355674"/>
    <w:rsid w:val="00355DBF"/>
    <w:rsid w:val="003576FF"/>
    <w:rsid w:val="00357F80"/>
    <w:rsid w:val="00361A34"/>
    <w:rsid w:val="0036304D"/>
    <w:rsid w:val="003631B2"/>
    <w:rsid w:val="00363764"/>
    <w:rsid w:val="00363A22"/>
    <w:rsid w:val="00363BEB"/>
    <w:rsid w:val="0036462F"/>
    <w:rsid w:val="00364A2E"/>
    <w:rsid w:val="00367A4B"/>
    <w:rsid w:val="00371D06"/>
    <w:rsid w:val="00372887"/>
    <w:rsid w:val="00373EDC"/>
    <w:rsid w:val="00374152"/>
    <w:rsid w:val="00374404"/>
    <w:rsid w:val="00375A29"/>
    <w:rsid w:val="00375C4D"/>
    <w:rsid w:val="00377841"/>
    <w:rsid w:val="00380A73"/>
    <w:rsid w:val="00382D34"/>
    <w:rsid w:val="00382F29"/>
    <w:rsid w:val="00384AF1"/>
    <w:rsid w:val="00385A79"/>
    <w:rsid w:val="00386385"/>
    <w:rsid w:val="00387555"/>
    <w:rsid w:val="0039006E"/>
    <w:rsid w:val="00391AD2"/>
    <w:rsid w:val="003930FC"/>
    <w:rsid w:val="00393B9D"/>
    <w:rsid w:val="00394823"/>
    <w:rsid w:val="003955A0"/>
    <w:rsid w:val="003978DA"/>
    <w:rsid w:val="0039792C"/>
    <w:rsid w:val="003A13B4"/>
    <w:rsid w:val="003A3596"/>
    <w:rsid w:val="003A35AF"/>
    <w:rsid w:val="003A47A3"/>
    <w:rsid w:val="003A72AE"/>
    <w:rsid w:val="003A72B8"/>
    <w:rsid w:val="003A7751"/>
    <w:rsid w:val="003B1262"/>
    <w:rsid w:val="003B4A8D"/>
    <w:rsid w:val="003B5D7A"/>
    <w:rsid w:val="003B72C4"/>
    <w:rsid w:val="003C1D40"/>
    <w:rsid w:val="003C276B"/>
    <w:rsid w:val="003C3908"/>
    <w:rsid w:val="003C3A13"/>
    <w:rsid w:val="003C48B6"/>
    <w:rsid w:val="003C7C89"/>
    <w:rsid w:val="003C7FD9"/>
    <w:rsid w:val="003D4318"/>
    <w:rsid w:val="003D46C1"/>
    <w:rsid w:val="003D4D70"/>
    <w:rsid w:val="003D542E"/>
    <w:rsid w:val="003D6200"/>
    <w:rsid w:val="003D66C8"/>
    <w:rsid w:val="003D6B2B"/>
    <w:rsid w:val="003D79C2"/>
    <w:rsid w:val="003D7D5D"/>
    <w:rsid w:val="003E0375"/>
    <w:rsid w:val="003E1CA7"/>
    <w:rsid w:val="003E2B21"/>
    <w:rsid w:val="003E4422"/>
    <w:rsid w:val="003E4FF7"/>
    <w:rsid w:val="003F1AAC"/>
    <w:rsid w:val="003F35EF"/>
    <w:rsid w:val="003F3B35"/>
    <w:rsid w:val="003F470F"/>
    <w:rsid w:val="003F6562"/>
    <w:rsid w:val="0040121C"/>
    <w:rsid w:val="00401805"/>
    <w:rsid w:val="004032D5"/>
    <w:rsid w:val="004052B2"/>
    <w:rsid w:val="00405C0C"/>
    <w:rsid w:val="00405E87"/>
    <w:rsid w:val="00405FC1"/>
    <w:rsid w:val="00406F3A"/>
    <w:rsid w:val="00410B6F"/>
    <w:rsid w:val="00412253"/>
    <w:rsid w:val="00413ABB"/>
    <w:rsid w:val="00415770"/>
    <w:rsid w:val="00415FC6"/>
    <w:rsid w:val="00416528"/>
    <w:rsid w:val="004179EB"/>
    <w:rsid w:val="00417D4C"/>
    <w:rsid w:val="00421292"/>
    <w:rsid w:val="004261F6"/>
    <w:rsid w:val="00426711"/>
    <w:rsid w:val="00430270"/>
    <w:rsid w:val="004303BA"/>
    <w:rsid w:val="004310BA"/>
    <w:rsid w:val="00432270"/>
    <w:rsid w:val="00434060"/>
    <w:rsid w:val="00434D32"/>
    <w:rsid w:val="00436E44"/>
    <w:rsid w:val="00437173"/>
    <w:rsid w:val="0044012A"/>
    <w:rsid w:val="00441D52"/>
    <w:rsid w:val="00442312"/>
    <w:rsid w:val="004424DA"/>
    <w:rsid w:val="004432F6"/>
    <w:rsid w:val="004446C5"/>
    <w:rsid w:val="004452B6"/>
    <w:rsid w:val="004469F9"/>
    <w:rsid w:val="00446F85"/>
    <w:rsid w:val="00451586"/>
    <w:rsid w:val="004522B4"/>
    <w:rsid w:val="00452891"/>
    <w:rsid w:val="00452900"/>
    <w:rsid w:val="00452A5B"/>
    <w:rsid w:val="00452CED"/>
    <w:rsid w:val="00452FE4"/>
    <w:rsid w:val="00453189"/>
    <w:rsid w:val="00454813"/>
    <w:rsid w:val="00456AC9"/>
    <w:rsid w:val="004619D4"/>
    <w:rsid w:val="00461BFF"/>
    <w:rsid w:val="00461DF8"/>
    <w:rsid w:val="0046257E"/>
    <w:rsid w:val="004642C0"/>
    <w:rsid w:val="0046775E"/>
    <w:rsid w:val="004677F7"/>
    <w:rsid w:val="00470D92"/>
    <w:rsid w:val="00472492"/>
    <w:rsid w:val="004746D8"/>
    <w:rsid w:val="00475510"/>
    <w:rsid w:val="0047586E"/>
    <w:rsid w:val="00475D67"/>
    <w:rsid w:val="00477A2F"/>
    <w:rsid w:val="00480E9D"/>
    <w:rsid w:val="00485168"/>
    <w:rsid w:val="004851ED"/>
    <w:rsid w:val="0048588A"/>
    <w:rsid w:val="004859D0"/>
    <w:rsid w:val="00490397"/>
    <w:rsid w:val="00490692"/>
    <w:rsid w:val="00492663"/>
    <w:rsid w:val="0049307B"/>
    <w:rsid w:val="00494894"/>
    <w:rsid w:val="004952D7"/>
    <w:rsid w:val="00495366"/>
    <w:rsid w:val="00495F6A"/>
    <w:rsid w:val="00496108"/>
    <w:rsid w:val="00496192"/>
    <w:rsid w:val="00496EAF"/>
    <w:rsid w:val="00497373"/>
    <w:rsid w:val="00497B08"/>
    <w:rsid w:val="004A0830"/>
    <w:rsid w:val="004A0E05"/>
    <w:rsid w:val="004A11C7"/>
    <w:rsid w:val="004A18D7"/>
    <w:rsid w:val="004A1B26"/>
    <w:rsid w:val="004A4A80"/>
    <w:rsid w:val="004A5489"/>
    <w:rsid w:val="004B0720"/>
    <w:rsid w:val="004B6616"/>
    <w:rsid w:val="004B7AD5"/>
    <w:rsid w:val="004C0F3F"/>
    <w:rsid w:val="004C17CB"/>
    <w:rsid w:val="004C420E"/>
    <w:rsid w:val="004C73A9"/>
    <w:rsid w:val="004C7929"/>
    <w:rsid w:val="004D0248"/>
    <w:rsid w:val="004D0B47"/>
    <w:rsid w:val="004D0BDF"/>
    <w:rsid w:val="004D2424"/>
    <w:rsid w:val="004D3A0B"/>
    <w:rsid w:val="004D469E"/>
    <w:rsid w:val="004D4B67"/>
    <w:rsid w:val="004D5182"/>
    <w:rsid w:val="004D5557"/>
    <w:rsid w:val="004E1BE7"/>
    <w:rsid w:val="004E23F3"/>
    <w:rsid w:val="004E2A6E"/>
    <w:rsid w:val="004E3405"/>
    <w:rsid w:val="004E3A57"/>
    <w:rsid w:val="004E4BBD"/>
    <w:rsid w:val="004E5018"/>
    <w:rsid w:val="004E5200"/>
    <w:rsid w:val="004E5EFE"/>
    <w:rsid w:val="004E6B64"/>
    <w:rsid w:val="004F064A"/>
    <w:rsid w:val="004F0FD3"/>
    <w:rsid w:val="004F33C5"/>
    <w:rsid w:val="004F3422"/>
    <w:rsid w:val="004F3FEB"/>
    <w:rsid w:val="004F5BB4"/>
    <w:rsid w:val="004F6AEC"/>
    <w:rsid w:val="005014CD"/>
    <w:rsid w:val="00501793"/>
    <w:rsid w:val="005028C8"/>
    <w:rsid w:val="00505BFD"/>
    <w:rsid w:val="005074D5"/>
    <w:rsid w:val="00510AA1"/>
    <w:rsid w:val="00511E6F"/>
    <w:rsid w:val="005127CE"/>
    <w:rsid w:val="00512879"/>
    <w:rsid w:val="00513282"/>
    <w:rsid w:val="005158CD"/>
    <w:rsid w:val="005204CB"/>
    <w:rsid w:val="00520B85"/>
    <w:rsid w:val="0052211A"/>
    <w:rsid w:val="00522208"/>
    <w:rsid w:val="005240BD"/>
    <w:rsid w:val="00524BCF"/>
    <w:rsid w:val="00524F37"/>
    <w:rsid w:val="00525AEA"/>
    <w:rsid w:val="00525FA8"/>
    <w:rsid w:val="005272D8"/>
    <w:rsid w:val="00530B7D"/>
    <w:rsid w:val="00531EA2"/>
    <w:rsid w:val="00532D90"/>
    <w:rsid w:val="00533D48"/>
    <w:rsid w:val="00534130"/>
    <w:rsid w:val="00534CEA"/>
    <w:rsid w:val="00535A6B"/>
    <w:rsid w:val="0054139F"/>
    <w:rsid w:val="005418F5"/>
    <w:rsid w:val="005419E9"/>
    <w:rsid w:val="00541DC9"/>
    <w:rsid w:val="00541EAA"/>
    <w:rsid w:val="00542475"/>
    <w:rsid w:val="005440CF"/>
    <w:rsid w:val="00546397"/>
    <w:rsid w:val="00550C9C"/>
    <w:rsid w:val="00551444"/>
    <w:rsid w:val="005516A8"/>
    <w:rsid w:val="005533C4"/>
    <w:rsid w:val="00560346"/>
    <w:rsid w:val="00560786"/>
    <w:rsid w:val="00561E2F"/>
    <w:rsid w:val="00562598"/>
    <w:rsid w:val="0056268F"/>
    <w:rsid w:val="00562BE0"/>
    <w:rsid w:val="00565AC5"/>
    <w:rsid w:val="00565C3C"/>
    <w:rsid w:val="00566963"/>
    <w:rsid w:val="00566974"/>
    <w:rsid w:val="005673CC"/>
    <w:rsid w:val="00567623"/>
    <w:rsid w:val="0057085B"/>
    <w:rsid w:val="00570C6B"/>
    <w:rsid w:val="005718F6"/>
    <w:rsid w:val="0057243E"/>
    <w:rsid w:val="00572DF6"/>
    <w:rsid w:val="00573388"/>
    <w:rsid w:val="00573AB6"/>
    <w:rsid w:val="00577D77"/>
    <w:rsid w:val="00580725"/>
    <w:rsid w:val="005807CD"/>
    <w:rsid w:val="00581465"/>
    <w:rsid w:val="00584471"/>
    <w:rsid w:val="00586657"/>
    <w:rsid w:val="00586FDE"/>
    <w:rsid w:val="00587B6A"/>
    <w:rsid w:val="00587C9B"/>
    <w:rsid w:val="00587F5D"/>
    <w:rsid w:val="00590E5A"/>
    <w:rsid w:val="005939D9"/>
    <w:rsid w:val="005940D1"/>
    <w:rsid w:val="00594E34"/>
    <w:rsid w:val="00596B3D"/>
    <w:rsid w:val="005A00F1"/>
    <w:rsid w:val="005A13D6"/>
    <w:rsid w:val="005A1D8E"/>
    <w:rsid w:val="005A2279"/>
    <w:rsid w:val="005A2BB7"/>
    <w:rsid w:val="005A32A6"/>
    <w:rsid w:val="005A3A8D"/>
    <w:rsid w:val="005A4ADA"/>
    <w:rsid w:val="005A5B01"/>
    <w:rsid w:val="005A6F2F"/>
    <w:rsid w:val="005B24AF"/>
    <w:rsid w:val="005B283E"/>
    <w:rsid w:val="005B3A18"/>
    <w:rsid w:val="005B41AA"/>
    <w:rsid w:val="005B4F61"/>
    <w:rsid w:val="005B57EF"/>
    <w:rsid w:val="005B6DF8"/>
    <w:rsid w:val="005C0524"/>
    <w:rsid w:val="005C087B"/>
    <w:rsid w:val="005C0C5C"/>
    <w:rsid w:val="005C2A99"/>
    <w:rsid w:val="005C5968"/>
    <w:rsid w:val="005C7707"/>
    <w:rsid w:val="005D0BFE"/>
    <w:rsid w:val="005D133C"/>
    <w:rsid w:val="005D14A0"/>
    <w:rsid w:val="005D2F33"/>
    <w:rsid w:val="005D33D4"/>
    <w:rsid w:val="005D3527"/>
    <w:rsid w:val="005D5CF2"/>
    <w:rsid w:val="005D7FCA"/>
    <w:rsid w:val="005E1232"/>
    <w:rsid w:val="005E37DA"/>
    <w:rsid w:val="005E40BB"/>
    <w:rsid w:val="005E485F"/>
    <w:rsid w:val="005F0FD7"/>
    <w:rsid w:val="005F1EC4"/>
    <w:rsid w:val="005F21EA"/>
    <w:rsid w:val="005F2D68"/>
    <w:rsid w:val="005F3758"/>
    <w:rsid w:val="005F512A"/>
    <w:rsid w:val="005F71F9"/>
    <w:rsid w:val="006002AA"/>
    <w:rsid w:val="006051D7"/>
    <w:rsid w:val="00611A35"/>
    <w:rsid w:val="00611C67"/>
    <w:rsid w:val="0061308C"/>
    <w:rsid w:val="00614076"/>
    <w:rsid w:val="00614368"/>
    <w:rsid w:val="00614E5A"/>
    <w:rsid w:val="00616235"/>
    <w:rsid w:val="0061690D"/>
    <w:rsid w:val="00620244"/>
    <w:rsid w:val="00620B8A"/>
    <w:rsid w:val="006226EB"/>
    <w:rsid w:val="0062275E"/>
    <w:rsid w:val="0062395A"/>
    <w:rsid w:val="00623F97"/>
    <w:rsid w:val="0062499E"/>
    <w:rsid w:val="00624F00"/>
    <w:rsid w:val="0062554E"/>
    <w:rsid w:val="00630057"/>
    <w:rsid w:val="00630230"/>
    <w:rsid w:val="00631233"/>
    <w:rsid w:val="0063197E"/>
    <w:rsid w:val="00632DC1"/>
    <w:rsid w:val="00635809"/>
    <w:rsid w:val="00636EB6"/>
    <w:rsid w:val="00637A6B"/>
    <w:rsid w:val="00640B8B"/>
    <w:rsid w:val="00640FE7"/>
    <w:rsid w:val="006426F2"/>
    <w:rsid w:val="00643AB4"/>
    <w:rsid w:val="00643E28"/>
    <w:rsid w:val="00643E5C"/>
    <w:rsid w:val="00645153"/>
    <w:rsid w:val="006455B8"/>
    <w:rsid w:val="00645F79"/>
    <w:rsid w:val="00646223"/>
    <w:rsid w:val="006470A6"/>
    <w:rsid w:val="00647993"/>
    <w:rsid w:val="00650191"/>
    <w:rsid w:val="00650304"/>
    <w:rsid w:val="0065103C"/>
    <w:rsid w:val="006529FA"/>
    <w:rsid w:val="006535F8"/>
    <w:rsid w:val="00653B45"/>
    <w:rsid w:val="00657376"/>
    <w:rsid w:val="006600BA"/>
    <w:rsid w:val="0066093C"/>
    <w:rsid w:val="00663B7B"/>
    <w:rsid w:val="006640FF"/>
    <w:rsid w:val="00667145"/>
    <w:rsid w:val="006673BB"/>
    <w:rsid w:val="006674A4"/>
    <w:rsid w:val="006707F5"/>
    <w:rsid w:val="00670AD9"/>
    <w:rsid w:val="006713C2"/>
    <w:rsid w:val="00671713"/>
    <w:rsid w:val="00672EDC"/>
    <w:rsid w:val="006735A6"/>
    <w:rsid w:val="00673AE4"/>
    <w:rsid w:val="0067402D"/>
    <w:rsid w:val="006750E2"/>
    <w:rsid w:val="00675E56"/>
    <w:rsid w:val="0067632C"/>
    <w:rsid w:val="006768B0"/>
    <w:rsid w:val="00677934"/>
    <w:rsid w:val="00677A85"/>
    <w:rsid w:val="006805A5"/>
    <w:rsid w:val="00680B51"/>
    <w:rsid w:val="00680E3F"/>
    <w:rsid w:val="006821E3"/>
    <w:rsid w:val="00682E8F"/>
    <w:rsid w:val="00685DB6"/>
    <w:rsid w:val="006862EF"/>
    <w:rsid w:val="0069048E"/>
    <w:rsid w:val="0069299B"/>
    <w:rsid w:val="00693137"/>
    <w:rsid w:val="00693518"/>
    <w:rsid w:val="00694C51"/>
    <w:rsid w:val="006955E7"/>
    <w:rsid w:val="00695FCF"/>
    <w:rsid w:val="00696965"/>
    <w:rsid w:val="00696DDA"/>
    <w:rsid w:val="006970D5"/>
    <w:rsid w:val="006A013E"/>
    <w:rsid w:val="006A135C"/>
    <w:rsid w:val="006A1639"/>
    <w:rsid w:val="006A1886"/>
    <w:rsid w:val="006A3B3E"/>
    <w:rsid w:val="006A4CFB"/>
    <w:rsid w:val="006A71A2"/>
    <w:rsid w:val="006A7AE1"/>
    <w:rsid w:val="006B0DD2"/>
    <w:rsid w:val="006B2505"/>
    <w:rsid w:val="006B4075"/>
    <w:rsid w:val="006B5E7A"/>
    <w:rsid w:val="006B6956"/>
    <w:rsid w:val="006C09E3"/>
    <w:rsid w:val="006C0A34"/>
    <w:rsid w:val="006C0DA3"/>
    <w:rsid w:val="006C2667"/>
    <w:rsid w:val="006C3B4B"/>
    <w:rsid w:val="006C41FF"/>
    <w:rsid w:val="006C4E62"/>
    <w:rsid w:val="006C5B37"/>
    <w:rsid w:val="006D1496"/>
    <w:rsid w:val="006D30E8"/>
    <w:rsid w:val="006D502F"/>
    <w:rsid w:val="006D5067"/>
    <w:rsid w:val="006D5713"/>
    <w:rsid w:val="006E1EA3"/>
    <w:rsid w:val="006E265E"/>
    <w:rsid w:val="006E27FD"/>
    <w:rsid w:val="006E2EEA"/>
    <w:rsid w:val="006E4DAD"/>
    <w:rsid w:val="006E5398"/>
    <w:rsid w:val="006E64B5"/>
    <w:rsid w:val="006E6CC2"/>
    <w:rsid w:val="006E77BB"/>
    <w:rsid w:val="006F5C05"/>
    <w:rsid w:val="006F5E1D"/>
    <w:rsid w:val="006F6ADA"/>
    <w:rsid w:val="006F7069"/>
    <w:rsid w:val="006F707F"/>
    <w:rsid w:val="00701873"/>
    <w:rsid w:val="0070382E"/>
    <w:rsid w:val="00703A2E"/>
    <w:rsid w:val="007050A0"/>
    <w:rsid w:val="0070621C"/>
    <w:rsid w:val="00706682"/>
    <w:rsid w:val="00707993"/>
    <w:rsid w:val="0071123A"/>
    <w:rsid w:val="00711E25"/>
    <w:rsid w:val="00711FB5"/>
    <w:rsid w:val="00712AC4"/>
    <w:rsid w:val="00712FB7"/>
    <w:rsid w:val="007138CC"/>
    <w:rsid w:val="00713CA3"/>
    <w:rsid w:val="0071439B"/>
    <w:rsid w:val="0072122E"/>
    <w:rsid w:val="00723B85"/>
    <w:rsid w:val="00725232"/>
    <w:rsid w:val="007254CF"/>
    <w:rsid w:val="007257B8"/>
    <w:rsid w:val="007265A4"/>
    <w:rsid w:val="00727A83"/>
    <w:rsid w:val="0073042B"/>
    <w:rsid w:val="00730A03"/>
    <w:rsid w:val="0073174A"/>
    <w:rsid w:val="007333BE"/>
    <w:rsid w:val="0073343B"/>
    <w:rsid w:val="007335A8"/>
    <w:rsid w:val="00734EC9"/>
    <w:rsid w:val="00735079"/>
    <w:rsid w:val="0073593C"/>
    <w:rsid w:val="00736A14"/>
    <w:rsid w:val="00737013"/>
    <w:rsid w:val="0073764E"/>
    <w:rsid w:val="00737DDD"/>
    <w:rsid w:val="00747908"/>
    <w:rsid w:val="0075099D"/>
    <w:rsid w:val="00751089"/>
    <w:rsid w:val="00752052"/>
    <w:rsid w:val="00753C3F"/>
    <w:rsid w:val="00754324"/>
    <w:rsid w:val="00754EA3"/>
    <w:rsid w:val="00756B84"/>
    <w:rsid w:val="00757A75"/>
    <w:rsid w:val="00760136"/>
    <w:rsid w:val="00760496"/>
    <w:rsid w:val="0076053B"/>
    <w:rsid w:val="00761553"/>
    <w:rsid w:val="007617A9"/>
    <w:rsid w:val="0076189A"/>
    <w:rsid w:val="00763FB0"/>
    <w:rsid w:val="007644E5"/>
    <w:rsid w:val="00765150"/>
    <w:rsid w:val="00766121"/>
    <w:rsid w:val="00770D2D"/>
    <w:rsid w:val="00770D5D"/>
    <w:rsid w:val="00772C0B"/>
    <w:rsid w:val="007738D0"/>
    <w:rsid w:val="00773EC0"/>
    <w:rsid w:val="00774DA4"/>
    <w:rsid w:val="00774E33"/>
    <w:rsid w:val="0077567A"/>
    <w:rsid w:val="00775B12"/>
    <w:rsid w:val="00775DA1"/>
    <w:rsid w:val="00777045"/>
    <w:rsid w:val="00777690"/>
    <w:rsid w:val="007777BD"/>
    <w:rsid w:val="00777FA9"/>
    <w:rsid w:val="00780533"/>
    <w:rsid w:val="00782061"/>
    <w:rsid w:val="00783A0B"/>
    <w:rsid w:val="00783E8C"/>
    <w:rsid w:val="00784DD0"/>
    <w:rsid w:val="00785290"/>
    <w:rsid w:val="007862F7"/>
    <w:rsid w:val="0078737D"/>
    <w:rsid w:val="00790464"/>
    <w:rsid w:val="007912F9"/>
    <w:rsid w:val="0079187D"/>
    <w:rsid w:val="00791D81"/>
    <w:rsid w:val="007939B6"/>
    <w:rsid w:val="00793D62"/>
    <w:rsid w:val="0079427C"/>
    <w:rsid w:val="00794F09"/>
    <w:rsid w:val="00795C3B"/>
    <w:rsid w:val="00795D57"/>
    <w:rsid w:val="007964C7"/>
    <w:rsid w:val="007A35B4"/>
    <w:rsid w:val="007A4846"/>
    <w:rsid w:val="007A4969"/>
    <w:rsid w:val="007A603F"/>
    <w:rsid w:val="007A66DF"/>
    <w:rsid w:val="007A6D9A"/>
    <w:rsid w:val="007A6FD9"/>
    <w:rsid w:val="007A7711"/>
    <w:rsid w:val="007A7C15"/>
    <w:rsid w:val="007B01D2"/>
    <w:rsid w:val="007B05F7"/>
    <w:rsid w:val="007B1924"/>
    <w:rsid w:val="007B199A"/>
    <w:rsid w:val="007B1BA6"/>
    <w:rsid w:val="007B48F8"/>
    <w:rsid w:val="007B51E6"/>
    <w:rsid w:val="007B55B5"/>
    <w:rsid w:val="007B5624"/>
    <w:rsid w:val="007C28B7"/>
    <w:rsid w:val="007C3D92"/>
    <w:rsid w:val="007C4D63"/>
    <w:rsid w:val="007C5420"/>
    <w:rsid w:val="007C582F"/>
    <w:rsid w:val="007C607D"/>
    <w:rsid w:val="007C6E19"/>
    <w:rsid w:val="007D1008"/>
    <w:rsid w:val="007D1B67"/>
    <w:rsid w:val="007D2672"/>
    <w:rsid w:val="007D394D"/>
    <w:rsid w:val="007D4B6B"/>
    <w:rsid w:val="007D62DC"/>
    <w:rsid w:val="007D7930"/>
    <w:rsid w:val="007D7CCF"/>
    <w:rsid w:val="007E0965"/>
    <w:rsid w:val="007E2425"/>
    <w:rsid w:val="007E58BF"/>
    <w:rsid w:val="007E728E"/>
    <w:rsid w:val="007E784C"/>
    <w:rsid w:val="007E79F5"/>
    <w:rsid w:val="007F130A"/>
    <w:rsid w:val="007F3D4F"/>
    <w:rsid w:val="007F46C8"/>
    <w:rsid w:val="007F5D18"/>
    <w:rsid w:val="00801420"/>
    <w:rsid w:val="00802069"/>
    <w:rsid w:val="008025DC"/>
    <w:rsid w:val="00802652"/>
    <w:rsid w:val="008027A4"/>
    <w:rsid w:val="00803C62"/>
    <w:rsid w:val="00806EC8"/>
    <w:rsid w:val="00814CE9"/>
    <w:rsid w:val="00815161"/>
    <w:rsid w:val="00815D21"/>
    <w:rsid w:val="00815D37"/>
    <w:rsid w:val="00815D73"/>
    <w:rsid w:val="00816F1F"/>
    <w:rsid w:val="008176D9"/>
    <w:rsid w:val="00820BE1"/>
    <w:rsid w:val="00822919"/>
    <w:rsid w:val="00825BCB"/>
    <w:rsid w:val="00825CE6"/>
    <w:rsid w:val="0082609D"/>
    <w:rsid w:val="008270A6"/>
    <w:rsid w:val="00827BB7"/>
    <w:rsid w:val="008307CF"/>
    <w:rsid w:val="008310C2"/>
    <w:rsid w:val="00831662"/>
    <w:rsid w:val="00831988"/>
    <w:rsid w:val="008319E1"/>
    <w:rsid w:val="00832233"/>
    <w:rsid w:val="00832428"/>
    <w:rsid w:val="00832BDC"/>
    <w:rsid w:val="008335D7"/>
    <w:rsid w:val="0083364D"/>
    <w:rsid w:val="008340F1"/>
    <w:rsid w:val="00834A4A"/>
    <w:rsid w:val="0083539A"/>
    <w:rsid w:val="0083564F"/>
    <w:rsid w:val="008356C6"/>
    <w:rsid w:val="0083673F"/>
    <w:rsid w:val="00837B9C"/>
    <w:rsid w:val="008406AA"/>
    <w:rsid w:val="008409F8"/>
    <w:rsid w:val="00843951"/>
    <w:rsid w:val="00844028"/>
    <w:rsid w:val="0084493B"/>
    <w:rsid w:val="00844B59"/>
    <w:rsid w:val="00844F82"/>
    <w:rsid w:val="00845D51"/>
    <w:rsid w:val="008462E6"/>
    <w:rsid w:val="008469EE"/>
    <w:rsid w:val="008513F9"/>
    <w:rsid w:val="00851721"/>
    <w:rsid w:val="008521CA"/>
    <w:rsid w:val="00852876"/>
    <w:rsid w:val="008566B3"/>
    <w:rsid w:val="00856765"/>
    <w:rsid w:val="0085760A"/>
    <w:rsid w:val="008610D3"/>
    <w:rsid w:val="00861853"/>
    <w:rsid w:val="008618FD"/>
    <w:rsid w:val="00862746"/>
    <w:rsid w:val="008638C5"/>
    <w:rsid w:val="00864335"/>
    <w:rsid w:val="00867AEB"/>
    <w:rsid w:val="00871FE1"/>
    <w:rsid w:val="00876C2C"/>
    <w:rsid w:val="00876D26"/>
    <w:rsid w:val="008775A4"/>
    <w:rsid w:val="008809B6"/>
    <w:rsid w:val="00881122"/>
    <w:rsid w:val="00881AF4"/>
    <w:rsid w:val="00882B98"/>
    <w:rsid w:val="008834FE"/>
    <w:rsid w:val="00883BC1"/>
    <w:rsid w:val="00884AE7"/>
    <w:rsid w:val="00884CBF"/>
    <w:rsid w:val="00884F48"/>
    <w:rsid w:val="00886263"/>
    <w:rsid w:val="00890070"/>
    <w:rsid w:val="00890405"/>
    <w:rsid w:val="008907F0"/>
    <w:rsid w:val="00890B27"/>
    <w:rsid w:val="008920DC"/>
    <w:rsid w:val="008927EE"/>
    <w:rsid w:val="00892826"/>
    <w:rsid w:val="008956D1"/>
    <w:rsid w:val="008957EF"/>
    <w:rsid w:val="00895BB6"/>
    <w:rsid w:val="0089700B"/>
    <w:rsid w:val="008972B2"/>
    <w:rsid w:val="008976A1"/>
    <w:rsid w:val="00897CA1"/>
    <w:rsid w:val="008A0E25"/>
    <w:rsid w:val="008A1766"/>
    <w:rsid w:val="008A1D53"/>
    <w:rsid w:val="008A7A9B"/>
    <w:rsid w:val="008A7CDD"/>
    <w:rsid w:val="008B1750"/>
    <w:rsid w:val="008B2BA7"/>
    <w:rsid w:val="008B2BDC"/>
    <w:rsid w:val="008B3494"/>
    <w:rsid w:val="008B4A35"/>
    <w:rsid w:val="008B5FC3"/>
    <w:rsid w:val="008B60AF"/>
    <w:rsid w:val="008B7022"/>
    <w:rsid w:val="008C0A82"/>
    <w:rsid w:val="008C4980"/>
    <w:rsid w:val="008C5798"/>
    <w:rsid w:val="008C61D8"/>
    <w:rsid w:val="008D257B"/>
    <w:rsid w:val="008D2BDD"/>
    <w:rsid w:val="008D33F8"/>
    <w:rsid w:val="008D4BC6"/>
    <w:rsid w:val="008E190A"/>
    <w:rsid w:val="008E2DB0"/>
    <w:rsid w:val="008E4AD4"/>
    <w:rsid w:val="008E70BF"/>
    <w:rsid w:val="008F1906"/>
    <w:rsid w:val="008F1F12"/>
    <w:rsid w:val="008F2550"/>
    <w:rsid w:val="008F2E54"/>
    <w:rsid w:val="008F43E5"/>
    <w:rsid w:val="008F5A3B"/>
    <w:rsid w:val="008F6975"/>
    <w:rsid w:val="008F72C4"/>
    <w:rsid w:val="008F7EF5"/>
    <w:rsid w:val="00900A5F"/>
    <w:rsid w:val="00902108"/>
    <w:rsid w:val="00902865"/>
    <w:rsid w:val="009030D3"/>
    <w:rsid w:val="0090415F"/>
    <w:rsid w:val="009041B5"/>
    <w:rsid w:val="00906DD1"/>
    <w:rsid w:val="00911902"/>
    <w:rsid w:val="00916D38"/>
    <w:rsid w:val="009171F5"/>
    <w:rsid w:val="00917BA0"/>
    <w:rsid w:val="00917D94"/>
    <w:rsid w:val="00920E58"/>
    <w:rsid w:val="00921057"/>
    <w:rsid w:val="00921E42"/>
    <w:rsid w:val="009221E2"/>
    <w:rsid w:val="00922ACE"/>
    <w:rsid w:val="00924122"/>
    <w:rsid w:val="009241E0"/>
    <w:rsid w:val="00924D7D"/>
    <w:rsid w:val="00927747"/>
    <w:rsid w:val="00927D6F"/>
    <w:rsid w:val="00930CCE"/>
    <w:rsid w:val="00931A17"/>
    <w:rsid w:val="00934178"/>
    <w:rsid w:val="009353AC"/>
    <w:rsid w:val="009360C0"/>
    <w:rsid w:val="0093639F"/>
    <w:rsid w:val="0093653B"/>
    <w:rsid w:val="00936FF7"/>
    <w:rsid w:val="00937550"/>
    <w:rsid w:val="0094028A"/>
    <w:rsid w:val="0094183B"/>
    <w:rsid w:val="0094398C"/>
    <w:rsid w:val="00944C8D"/>
    <w:rsid w:val="00944E22"/>
    <w:rsid w:val="00947084"/>
    <w:rsid w:val="00947FBD"/>
    <w:rsid w:val="00950F90"/>
    <w:rsid w:val="00953E98"/>
    <w:rsid w:val="00954A08"/>
    <w:rsid w:val="00955403"/>
    <w:rsid w:val="00957526"/>
    <w:rsid w:val="00957C85"/>
    <w:rsid w:val="00957D24"/>
    <w:rsid w:val="009630B4"/>
    <w:rsid w:val="00963735"/>
    <w:rsid w:val="009650B3"/>
    <w:rsid w:val="00965964"/>
    <w:rsid w:val="00967B7A"/>
    <w:rsid w:val="009701EE"/>
    <w:rsid w:val="0097162D"/>
    <w:rsid w:val="009721C4"/>
    <w:rsid w:val="009722DB"/>
    <w:rsid w:val="0097272E"/>
    <w:rsid w:val="00973B94"/>
    <w:rsid w:val="00976F80"/>
    <w:rsid w:val="00977B89"/>
    <w:rsid w:val="009805F2"/>
    <w:rsid w:val="00984C33"/>
    <w:rsid w:val="00984E46"/>
    <w:rsid w:val="00986052"/>
    <w:rsid w:val="00987C74"/>
    <w:rsid w:val="00991B11"/>
    <w:rsid w:val="00991EDB"/>
    <w:rsid w:val="00994D71"/>
    <w:rsid w:val="00996C28"/>
    <w:rsid w:val="00996FA7"/>
    <w:rsid w:val="009977C9"/>
    <w:rsid w:val="009A2117"/>
    <w:rsid w:val="009A2DA3"/>
    <w:rsid w:val="009A37EB"/>
    <w:rsid w:val="009A3ADF"/>
    <w:rsid w:val="009A4477"/>
    <w:rsid w:val="009A662A"/>
    <w:rsid w:val="009A6C03"/>
    <w:rsid w:val="009A7F06"/>
    <w:rsid w:val="009A7F2E"/>
    <w:rsid w:val="009B0C1D"/>
    <w:rsid w:val="009B2E68"/>
    <w:rsid w:val="009B3995"/>
    <w:rsid w:val="009B7FE4"/>
    <w:rsid w:val="009C005C"/>
    <w:rsid w:val="009C17E6"/>
    <w:rsid w:val="009C1A22"/>
    <w:rsid w:val="009C2C3C"/>
    <w:rsid w:val="009C4156"/>
    <w:rsid w:val="009C60D3"/>
    <w:rsid w:val="009C6AFA"/>
    <w:rsid w:val="009C7037"/>
    <w:rsid w:val="009C7943"/>
    <w:rsid w:val="009D0D30"/>
    <w:rsid w:val="009D1A5C"/>
    <w:rsid w:val="009D2EAC"/>
    <w:rsid w:val="009D3894"/>
    <w:rsid w:val="009D4F4F"/>
    <w:rsid w:val="009D6E1C"/>
    <w:rsid w:val="009D746D"/>
    <w:rsid w:val="009D75DE"/>
    <w:rsid w:val="009D7945"/>
    <w:rsid w:val="009E30A5"/>
    <w:rsid w:val="009E3CEE"/>
    <w:rsid w:val="009E3EAC"/>
    <w:rsid w:val="009E3F63"/>
    <w:rsid w:val="009E4342"/>
    <w:rsid w:val="009F03B6"/>
    <w:rsid w:val="009F0432"/>
    <w:rsid w:val="009F0ADE"/>
    <w:rsid w:val="009F1FB2"/>
    <w:rsid w:val="009F2842"/>
    <w:rsid w:val="009F2CAA"/>
    <w:rsid w:val="009F4E69"/>
    <w:rsid w:val="009F691A"/>
    <w:rsid w:val="00A004B0"/>
    <w:rsid w:val="00A03C51"/>
    <w:rsid w:val="00A04007"/>
    <w:rsid w:val="00A04E54"/>
    <w:rsid w:val="00A061EB"/>
    <w:rsid w:val="00A06334"/>
    <w:rsid w:val="00A0698F"/>
    <w:rsid w:val="00A10DFC"/>
    <w:rsid w:val="00A113DF"/>
    <w:rsid w:val="00A12E53"/>
    <w:rsid w:val="00A13DFC"/>
    <w:rsid w:val="00A16B16"/>
    <w:rsid w:val="00A17979"/>
    <w:rsid w:val="00A223B1"/>
    <w:rsid w:val="00A23478"/>
    <w:rsid w:val="00A23E03"/>
    <w:rsid w:val="00A24493"/>
    <w:rsid w:val="00A25176"/>
    <w:rsid w:val="00A26267"/>
    <w:rsid w:val="00A269CF"/>
    <w:rsid w:val="00A30AE9"/>
    <w:rsid w:val="00A31C2C"/>
    <w:rsid w:val="00A356B3"/>
    <w:rsid w:val="00A35813"/>
    <w:rsid w:val="00A364A1"/>
    <w:rsid w:val="00A36649"/>
    <w:rsid w:val="00A36D32"/>
    <w:rsid w:val="00A36E5F"/>
    <w:rsid w:val="00A401BC"/>
    <w:rsid w:val="00A40F25"/>
    <w:rsid w:val="00A423A7"/>
    <w:rsid w:val="00A430EB"/>
    <w:rsid w:val="00A44F7D"/>
    <w:rsid w:val="00A54C2F"/>
    <w:rsid w:val="00A60FC8"/>
    <w:rsid w:val="00A6177F"/>
    <w:rsid w:val="00A61A79"/>
    <w:rsid w:val="00A63606"/>
    <w:rsid w:val="00A64AD2"/>
    <w:rsid w:val="00A64D76"/>
    <w:rsid w:val="00A650B3"/>
    <w:rsid w:val="00A65B9D"/>
    <w:rsid w:val="00A66062"/>
    <w:rsid w:val="00A66317"/>
    <w:rsid w:val="00A66328"/>
    <w:rsid w:val="00A66E9E"/>
    <w:rsid w:val="00A710F1"/>
    <w:rsid w:val="00A71D3F"/>
    <w:rsid w:val="00A71FF1"/>
    <w:rsid w:val="00A7213D"/>
    <w:rsid w:val="00A76386"/>
    <w:rsid w:val="00A77136"/>
    <w:rsid w:val="00A7781C"/>
    <w:rsid w:val="00A84F3D"/>
    <w:rsid w:val="00A86DA7"/>
    <w:rsid w:val="00A90AD0"/>
    <w:rsid w:val="00A91DC0"/>
    <w:rsid w:val="00A91E49"/>
    <w:rsid w:val="00A9205A"/>
    <w:rsid w:val="00A953B4"/>
    <w:rsid w:val="00AA0FE4"/>
    <w:rsid w:val="00AA10CE"/>
    <w:rsid w:val="00AA2A57"/>
    <w:rsid w:val="00AA2C9B"/>
    <w:rsid w:val="00AA5738"/>
    <w:rsid w:val="00AA5FE0"/>
    <w:rsid w:val="00AA6191"/>
    <w:rsid w:val="00AA65EF"/>
    <w:rsid w:val="00AA787F"/>
    <w:rsid w:val="00AB07C4"/>
    <w:rsid w:val="00AB0FBF"/>
    <w:rsid w:val="00AB3272"/>
    <w:rsid w:val="00AB5A9E"/>
    <w:rsid w:val="00AB5BA1"/>
    <w:rsid w:val="00AB6942"/>
    <w:rsid w:val="00AB7331"/>
    <w:rsid w:val="00AC056B"/>
    <w:rsid w:val="00AC0C82"/>
    <w:rsid w:val="00AC18D7"/>
    <w:rsid w:val="00AC2611"/>
    <w:rsid w:val="00AC2E6A"/>
    <w:rsid w:val="00AC3E12"/>
    <w:rsid w:val="00AC44EB"/>
    <w:rsid w:val="00AC71A6"/>
    <w:rsid w:val="00AD02EC"/>
    <w:rsid w:val="00AD05A6"/>
    <w:rsid w:val="00AD3292"/>
    <w:rsid w:val="00AD388F"/>
    <w:rsid w:val="00AD436F"/>
    <w:rsid w:val="00AD613D"/>
    <w:rsid w:val="00AD7473"/>
    <w:rsid w:val="00AE0854"/>
    <w:rsid w:val="00AE0F77"/>
    <w:rsid w:val="00AE1EFF"/>
    <w:rsid w:val="00AE2657"/>
    <w:rsid w:val="00AE4C5E"/>
    <w:rsid w:val="00AE52B8"/>
    <w:rsid w:val="00AE53E8"/>
    <w:rsid w:val="00AE7805"/>
    <w:rsid w:val="00AE7BCB"/>
    <w:rsid w:val="00AE7C72"/>
    <w:rsid w:val="00AF0726"/>
    <w:rsid w:val="00AF1125"/>
    <w:rsid w:val="00AF214C"/>
    <w:rsid w:val="00AF24B2"/>
    <w:rsid w:val="00AF529C"/>
    <w:rsid w:val="00AF5345"/>
    <w:rsid w:val="00AF5B03"/>
    <w:rsid w:val="00AF5EB2"/>
    <w:rsid w:val="00AF60B7"/>
    <w:rsid w:val="00AF751E"/>
    <w:rsid w:val="00AF7F4A"/>
    <w:rsid w:val="00B00632"/>
    <w:rsid w:val="00B01528"/>
    <w:rsid w:val="00B01A0B"/>
    <w:rsid w:val="00B033EE"/>
    <w:rsid w:val="00B03791"/>
    <w:rsid w:val="00B03F2D"/>
    <w:rsid w:val="00B047F1"/>
    <w:rsid w:val="00B051CC"/>
    <w:rsid w:val="00B05237"/>
    <w:rsid w:val="00B0532A"/>
    <w:rsid w:val="00B12C1F"/>
    <w:rsid w:val="00B16061"/>
    <w:rsid w:val="00B17CC3"/>
    <w:rsid w:val="00B17FF8"/>
    <w:rsid w:val="00B20DA5"/>
    <w:rsid w:val="00B22D3D"/>
    <w:rsid w:val="00B235F7"/>
    <w:rsid w:val="00B242B8"/>
    <w:rsid w:val="00B24831"/>
    <w:rsid w:val="00B254D8"/>
    <w:rsid w:val="00B265A5"/>
    <w:rsid w:val="00B30840"/>
    <w:rsid w:val="00B30A72"/>
    <w:rsid w:val="00B30CF7"/>
    <w:rsid w:val="00B30F3E"/>
    <w:rsid w:val="00B3280B"/>
    <w:rsid w:val="00B34570"/>
    <w:rsid w:val="00B34708"/>
    <w:rsid w:val="00B34F7E"/>
    <w:rsid w:val="00B35085"/>
    <w:rsid w:val="00B365C9"/>
    <w:rsid w:val="00B3783E"/>
    <w:rsid w:val="00B43BAA"/>
    <w:rsid w:val="00B44A32"/>
    <w:rsid w:val="00B45C22"/>
    <w:rsid w:val="00B46F5D"/>
    <w:rsid w:val="00B510D1"/>
    <w:rsid w:val="00B516F4"/>
    <w:rsid w:val="00B53695"/>
    <w:rsid w:val="00B552F4"/>
    <w:rsid w:val="00B56122"/>
    <w:rsid w:val="00B6021A"/>
    <w:rsid w:val="00B618FA"/>
    <w:rsid w:val="00B61CD8"/>
    <w:rsid w:val="00B61DDE"/>
    <w:rsid w:val="00B622BA"/>
    <w:rsid w:val="00B62739"/>
    <w:rsid w:val="00B63F07"/>
    <w:rsid w:val="00B64FD7"/>
    <w:rsid w:val="00B65B8B"/>
    <w:rsid w:val="00B65FD9"/>
    <w:rsid w:val="00B6634F"/>
    <w:rsid w:val="00B67FDC"/>
    <w:rsid w:val="00B708CF"/>
    <w:rsid w:val="00B71697"/>
    <w:rsid w:val="00B71781"/>
    <w:rsid w:val="00B7222E"/>
    <w:rsid w:val="00B7336C"/>
    <w:rsid w:val="00B7548C"/>
    <w:rsid w:val="00B76C6A"/>
    <w:rsid w:val="00B77794"/>
    <w:rsid w:val="00B80677"/>
    <w:rsid w:val="00B81482"/>
    <w:rsid w:val="00B81FBF"/>
    <w:rsid w:val="00B82437"/>
    <w:rsid w:val="00B829A8"/>
    <w:rsid w:val="00B829B3"/>
    <w:rsid w:val="00B83749"/>
    <w:rsid w:val="00B84C7D"/>
    <w:rsid w:val="00B860BD"/>
    <w:rsid w:val="00B860F7"/>
    <w:rsid w:val="00B86579"/>
    <w:rsid w:val="00B87617"/>
    <w:rsid w:val="00B912EC"/>
    <w:rsid w:val="00B9203C"/>
    <w:rsid w:val="00B92684"/>
    <w:rsid w:val="00B93167"/>
    <w:rsid w:val="00B95065"/>
    <w:rsid w:val="00B957B7"/>
    <w:rsid w:val="00B96704"/>
    <w:rsid w:val="00B96E93"/>
    <w:rsid w:val="00B971AE"/>
    <w:rsid w:val="00B97AE8"/>
    <w:rsid w:val="00BA2289"/>
    <w:rsid w:val="00BA3745"/>
    <w:rsid w:val="00BA783E"/>
    <w:rsid w:val="00BB01C4"/>
    <w:rsid w:val="00BB1DDF"/>
    <w:rsid w:val="00BB1F05"/>
    <w:rsid w:val="00BB211A"/>
    <w:rsid w:val="00BB4665"/>
    <w:rsid w:val="00BB4A4E"/>
    <w:rsid w:val="00BB511F"/>
    <w:rsid w:val="00BC1CC8"/>
    <w:rsid w:val="00BC2D7C"/>
    <w:rsid w:val="00BC5B5E"/>
    <w:rsid w:val="00BC6124"/>
    <w:rsid w:val="00BC76D0"/>
    <w:rsid w:val="00BD2C2E"/>
    <w:rsid w:val="00BD3529"/>
    <w:rsid w:val="00BE134F"/>
    <w:rsid w:val="00BE3538"/>
    <w:rsid w:val="00BE4EA8"/>
    <w:rsid w:val="00BE56ED"/>
    <w:rsid w:val="00BE67E4"/>
    <w:rsid w:val="00BE77A5"/>
    <w:rsid w:val="00BF158F"/>
    <w:rsid w:val="00BF1A77"/>
    <w:rsid w:val="00BF1A98"/>
    <w:rsid w:val="00BF2576"/>
    <w:rsid w:val="00BF3F2C"/>
    <w:rsid w:val="00BF5106"/>
    <w:rsid w:val="00BF583E"/>
    <w:rsid w:val="00BF5D19"/>
    <w:rsid w:val="00BF5DF9"/>
    <w:rsid w:val="00C00153"/>
    <w:rsid w:val="00C00321"/>
    <w:rsid w:val="00C0043D"/>
    <w:rsid w:val="00C013C1"/>
    <w:rsid w:val="00C023AC"/>
    <w:rsid w:val="00C024B1"/>
    <w:rsid w:val="00C032E9"/>
    <w:rsid w:val="00C03950"/>
    <w:rsid w:val="00C04E50"/>
    <w:rsid w:val="00C053AA"/>
    <w:rsid w:val="00C05572"/>
    <w:rsid w:val="00C055DB"/>
    <w:rsid w:val="00C10CA2"/>
    <w:rsid w:val="00C10E6A"/>
    <w:rsid w:val="00C1154C"/>
    <w:rsid w:val="00C11CA8"/>
    <w:rsid w:val="00C1279D"/>
    <w:rsid w:val="00C16581"/>
    <w:rsid w:val="00C17B97"/>
    <w:rsid w:val="00C20338"/>
    <w:rsid w:val="00C2114D"/>
    <w:rsid w:val="00C214E5"/>
    <w:rsid w:val="00C24B34"/>
    <w:rsid w:val="00C24F8E"/>
    <w:rsid w:val="00C27666"/>
    <w:rsid w:val="00C276B1"/>
    <w:rsid w:val="00C308AD"/>
    <w:rsid w:val="00C31091"/>
    <w:rsid w:val="00C32280"/>
    <w:rsid w:val="00C33673"/>
    <w:rsid w:val="00C342E0"/>
    <w:rsid w:val="00C343BD"/>
    <w:rsid w:val="00C3561A"/>
    <w:rsid w:val="00C36730"/>
    <w:rsid w:val="00C3716E"/>
    <w:rsid w:val="00C374D4"/>
    <w:rsid w:val="00C4141D"/>
    <w:rsid w:val="00C45AAA"/>
    <w:rsid w:val="00C46721"/>
    <w:rsid w:val="00C46EC8"/>
    <w:rsid w:val="00C470B7"/>
    <w:rsid w:val="00C47E65"/>
    <w:rsid w:val="00C50096"/>
    <w:rsid w:val="00C52FF7"/>
    <w:rsid w:val="00C536FD"/>
    <w:rsid w:val="00C546FF"/>
    <w:rsid w:val="00C54A1E"/>
    <w:rsid w:val="00C54B84"/>
    <w:rsid w:val="00C54C86"/>
    <w:rsid w:val="00C56178"/>
    <w:rsid w:val="00C56318"/>
    <w:rsid w:val="00C56687"/>
    <w:rsid w:val="00C56F97"/>
    <w:rsid w:val="00C571FB"/>
    <w:rsid w:val="00C577A9"/>
    <w:rsid w:val="00C60D99"/>
    <w:rsid w:val="00C674B4"/>
    <w:rsid w:val="00C6787B"/>
    <w:rsid w:val="00C717FC"/>
    <w:rsid w:val="00C72455"/>
    <w:rsid w:val="00C73546"/>
    <w:rsid w:val="00C74392"/>
    <w:rsid w:val="00C74422"/>
    <w:rsid w:val="00C75948"/>
    <w:rsid w:val="00C76D3F"/>
    <w:rsid w:val="00C80BD3"/>
    <w:rsid w:val="00C8337E"/>
    <w:rsid w:val="00C83CDE"/>
    <w:rsid w:val="00C85EEF"/>
    <w:rsid w:val="00C85FD8"/>
    <w:rsid w:val="00C8624C"/>
    <w:rsid w:val="00C92B2B"/>
    <w:rsid w:val="00C93F32"/>
    <w:rsid w:val="00C94775"/>
    <w:rsid w:val="00C947A9"/>
    <w:rsid w:val="00C94D3F"/>
    <w:rsid w:val="00C95D73"/>
    <w:rsid w:val="00C96A92"/>
    <w:rsid w:val="00C972C8"/>
    <w:rsid w:val="00C97A89"/>
    <w:rsid w:val="00CA492E"/>
    <w:rsid w:val="00CA4C09"/>
    <w:rsid w:val="00CA4FA9"/>
    <w:rsid w:val="00CA61C6"/>
    <w:rsid w:val="00CA6716"/>
    <w:rsid w:val="00CA6DEF"/>
    <w:rsid w:val="00CA74CA"/>
    <w:rsid w:val="00CB09A1"/>
    <w:rsid w:val="00CB146D"/>
    <w:rsid w:val="00CB2567"/>
    <w:rsid w:val="00CB3F35"/>
    <w:rsid w:val="00CB4D1B"/>
    <w:rsid w:val="00CB79A7"/>
    <w:rsid w:val="00CC1780"/>
    <w:rsid w:val="00CC3536"/>
    <w:rsid w:val="00CC477E"/>
    <w:rsid w:val="00CC4A07"/>
    <w:rsid w:val="00CC4E9E"/>
    <w:rsid w:val="00CC4F1D"/>
    <w:rsid w:val="00CC6E1E"/>
    <w:rsid w:val="00CC7338"/>
    <w:rsid w:val="00CC7BDF"/>
    <w:rsid w:val="00CD2317"/>
    <w:rsid w:val="00CD2B0E"/>
    <w:rsid w:val="00CD3D6F"/>
    <w:rsid w:val="00CD4895"/>
    <w:rsid w:val="00CD671E"/>
    <w:rsid w:val="00CD683F"/>
    <w:rsid w:val="00CD6B90"/>
    <w:rsid w:val="00CD6DFA"/>
    <w:rsid w:val="00CD7ACC"/>
    <w:rsid w:val="00CE1E5E"/>
    <w:rsid w:val="00CE202C"/>
    <w:rsid w:val="00CE35C1"/>
    <w:rsid w:val="00CE5CEA"/>
    <w:rsid w:val="00CE6691"/>
    <w:rsid w:val="00CE688C"/>
    <w:rsid w:val="00CE6911"/>
    <w:rsid w:val="00CE6E72"/>
    <w:rsid w:val="00CE71E5"/>
    <w:rsid w:val="00CF1C62"/>
    <w:rsid w:val="00CF2659"/>
    <w:rsid w:val="00CF540D"/>
    <w:rsid w:val="00CF661C"/>
    <w:rsid w:val="00CF6E6C"/>
    <w:rsid w:val="00CF77DC"/>
    <w:rsid w:val="00CF7D0F"/>
    <w:rsid w:val="00D0086F"/>
    <w:rsid w:val="00D01B22"/>
    <w:rsid w:val="00D02682"/>
    <w:rsid w:val="00D03E15"/>
    <w:rsid w:val="00D04C48"/>
    <w:rsid w:val="00D05C60"/>
    <w:rsid w:val="00D069EF"/>
    <w:rsid w:val="00D06F63"/>
    <w:rsid w:val="00D07DF0"/>
    <w:rsid w:val="00D13147"/>
    <w:rsid w:val="00D14818"/>
    <w:rsid w:val="00D15111"/>
    <w:rsid w:val="00D15D0A"/>
    <w:rsid w:val="00D167ED"/>
    <w:rsid w:val="00D20341"/>
    <w:rsid w:val="00D204CD"/>
    <w:rsid w:val="00D2134B"/>
    <w:rsid w:val="00D21751"/>
    <w:rsid w:val="00D21F6E"/>
    <w:rsid w:val="00D22CFE"/>
    <w:rsid w:val="00D23A72"/>
    <w:rsid w:val="00D23AB2"/>
    <w:rsid w:val="00D25135"/>
    <w:rsid w:val="00D258D8"/>
    <w:rsid w:val="00D26331"/>
    <w:rsid w:val="00D2652D"/>
    <w:rsid w:val="00D27104"/>
    <w:rsid w:val="00D301D2"/>
    <w:rsid w:val="00D30CEF"/>
    <w:rsid w:val="00D31C1B"/>
    <w:rsid w:val="00D33A1A"/>
    <w:rsid w:val="00D353A8"/>
    <w:rsid w:val="00D37BBE"/>
    <w:rsid w:val="00D40E17"/>
    <w:rsid w:val="00D42242"/>
    <w:rsid w:val="00D43662"/>
    <w:rsid w:val="00D45208"/>
    <w:rsid w:val="00D45568"/>
    <w:rsid w:val="00D51C6E"/>
    <w:rsid w:val="00D51D87"/>
    <w:rsid w:val="00D52DAF"/>
    <w:rsid w:val="00D53CE2"/>
    <w:rsid w:val="00D543F3"/>
    <w:rsid w:val="00D609E5"/>
    <w:rsid w:val="00D636FC"/>
    <w:rsid w:val="00D651BC"/>
    <w:rsid w:val="00D66971"/>
    <w:rsid w:val="00D67E83"/>
    <w:rsid w:val="00D708B7"/>
    <w:rsid w:val="00D71896"/>
    <w:rsid w:val="00D755A7"/>
    <w:rsid w:val="00D75ECC"/>
    <w:rsid w:val="00D77B37"/>
    <w:rsid w:val="00D80173"/>
    <w:rsid w:val="00D80B32"/>
    <w:rsid w:val="00D81357"/>
    <w:rsid w:val="00D81D4D"/>
    <w:rsid w:val="00D823A9"/>
    <w:rsid w:val="00D83E51"/>
    <w:rsid w:val="00D83FB6"/>
    <w:rsid w:val="00D90217"/>
    <w:rsid w:val="00D9048E"/>
    <w:rsid w:val="00D91F7D"/>
    <w:rsid w:val="00D92A5F"/>
    <w:rsid w:val="00D95224"/>
    <w:rsid w:val="00D95989"/>
    <w:rsid w:val="00D96184"/>
    <w:rsid w:val="00D96C89"/>
    <w:rsid w:val="00D97320"/>
    <w:rsid w:val="00DA1D51"/>
    <w:rsid w:val="00DA52E8"/>
    <w:rsid w:val="00DA6836"/>
    <w:rsid w:val="00DA6C57"/>
    <w:rsid w:val="00DB4817"/>
    <w:rsid w:val="00DB4CF9"/>
    <w:rsid w:val="00DC2A0C"/>
    <w:rsid w:val="00DC54A4"/>
    <w:rsid w:val="00DD2C65"/>
    <w:rsid w:val="00DD491D"/>
    <w:rsid w:val="00DD593A"/>
    <w:rsid w:val="00DD7BB6"/>
    <w:rsid w:val="00DE1FE9"/>
    <w:rsid w:val="00DE23F2"/>
    <w:rsid w:val="00DE3558"/>
    <w:rsid w:val="00DE38A1"/>
    <w:rsid w:val="00DE4B32"/>
    <w:rsid w:val="00DE5012"/>
    <w:rsid w:val="00DE591C"/>
    <w:rsid w:val="00DE68E0"/>
    <w:rsid w:val="00DE6AEA"/>
    <w:rsid w:val="00DF20F8"/>
    <w:rsid w:val="00DF274C"/>
    <w:rsid w:val="00DF2811"/>
    <w:rsid w:val="00DF2AF5"/>
    <w:rsid w:val="00DF3C21"/>
    <w:rsid w:val="00DF42DB"/>
    <w:rsid w:val="00DF6487"/>
    <w:rsid w:val="00DF6901"/>
    <w:rsid w:val="00E0010B"/>
    <w:rsid w:val="00E00E5A"/>
    <w:rsid w:val="00E0144B"/>
    <w:rsid w:val="00E01976"/>
    <w:rsid w:val="00E0203D"/>
    <w:rsid w:val="00E03AF1"/>
    <w:rsid w:val="00E03F63"/>
    <w:rsid w:val="00E04BEC"/>
    <w:rsid w:val="00E06001"/>
    <w:rsid w:val="00E102BB"/>
    <w:rsid w:val="00E118ED"/>
    <w:rsid w:val="00E126E0"/>
    <w:rsid w:val="00E1351B"/>
    <w:rsid w:val="00E13656"/>
    <w:rsid w:val="00E1642A"/>
    <w:rsid w:val="00E1655E"/>
    <w:rsid w:val="00E17D68"/>
    <w:rsid w:val="00E21DED"/>
    <w:rsid w:val="00E22F11"/>
    <w:rsid w:val="00E2554C"/>
    <w:rsid w:val="00E25D31"/>
    <w:rsid w:val="00E25FA6"/>
    <w:rsid w:val="00E263F2"/>
    <w:rsid w:val="00E27E4C"/>
    <w:rsid w:val="00E301EE"/>
    <w:rsid w:val="00E30818"/>
    <w:rsid w:val="00E318B5"/>
    <w:rsid w:val="00E32E47"/>
    <w:rsid w:val="00E33DBD"/>
    <w:rsid w:val="00E34AAD"/>
    <w:rsid w:val="00E34C91"/>
    <w:rsid w:val="00E356CB"/>
    <w:rsid w:val="00E364D8"/>
    <w:rsid w:val="00E36BE2"/>
    <w:rsid w:val="00E3755B"/>
    <w:rsid w:val="00E37CC9"/>
    <w:rsid w:val="00E42270"/>
    <w:rsid w:val="00E43930"/>
    <w:rsid w:val="00E44E3C"/>
    <w:rsid w:val="00E45CD7"/>
    <w:rsid w:val="00E46DBD"/>
    <w:rsid w:val="00E4759B"/>
    <w:rsid w:val="00E50B8E"/>
    <w:rsid w:val="00E50FBC"/>
    <w:rsid w:val="00E52BE0"/>
    <w:rsid w:val="00E544CF"/>
    <w:rsid w:val="00E5485A"/>
    <w:rsid w:val="00E562B4"/>
    <w:rsid w:val="00E568E1"/>
    <w:rsid w:val="00E56CE6"/>
    <w:rsid w:val="00E574FC"/>
    <w:rsid w:val="00E60629"/>
    <w:rsid w:val="00E60695"/>
    <w:rsid w:val="00E61043"/>
    <w:rsid w:val="00E61CF3"/>
    <w:rsid w:val="00E61E4D"/>
    <w:rsid w:val="00E63E75"/>
    <w:rsid w:val="00E6515F"/>
    <w:rsid w:val="00E65AAE"/>
    <w:rsid w:val="00E65BF2"/>
    <w:rsid w:val="00E672C7"/>
    <w:rsid w:val="00E674FB"/>
    <w:rsid w:val="00E70586"/>
    <w:rsid w:val="00E73406"/>
    <w:rsid w:val="00E74DD3"/>
    <w:rsid w:val="00E75B91"/>
    <w:rsid w:val="00E7625C"/>
    <w:rsid w:val="00E76BC5"/>
    <w:rsid w:val="00E7781F"/>
    <w:rsid w:val="00E810FE"/>
    <w:rsid w:val="00E824FD"/>
    <w:rsid w:val="00E83879"/>
    <w:rsid w:val="00E8596C"/>
    <w:rsid w:val="00E8644B"/>
    <w:rsid w:val="00E864A9"/>
    <w:rsid w:val="00E865C0"/>
    <w:rsid w:val="00E87B01"/>
    <w:rsid w:val="00E900AF"/>
    <w:rsid w:val="00E91CC1"/>
    <w:rsid w:val="00E93FCD"/>
    <w:rsid w:val="00E94FC2"/>
    <w:rsid w:val="00E95C92"/>
    <w:rsid w:val="00E97CC8"/>
    <w:rsid w:val="00EA0984"/>
    <w:rsid w:val="00EA2C2E"/>
    <w:rsid w:val="00EA3C71"/>
    <w:rsid w:val="00EA50DE"/>
    <w:rsid w:val="00EA5DD7"/>
    <w:rsid w:val="00EA61A2"/>
    <w:rsid w:val="00EB0134"/>
    <w:rsid w:val="00EB116F"/>
    <w:rsid w:val="00EB14C9"/>
    <w:rsid w:val="00EB1CAB"/>
    <w:rsid w:val="00EB1D29"/>
    <w:rsid w:val="00EB20D1"/>
    <w:rsid w:val="00EB2C5F"/>
    <w:rsid w:val="00EB2CB1"/>
    <w:rsid w:val="00EB33E2"/>
    <w:rsid w:val="00EB403E"/>
    <w:rsid w:val="00EB5AFB"/>
    <w:rsid w:val="00EB7589"/>
    <w:rsid w:val="00EC1E91"/>
    <w:rsid w:val="00EC3A18"/>
    <w:rsid w:val="00EC5217"/>
    <w:rsid w:val="00EC55CB"/>
    <w:rsid w:val="00EC5C09"/>
    <w:rsid w:val="00EC7A99"/>
    <w:rsid w:val="00ED073D"/>
    <w:rsid w:val="00ED0CFD"/>
    <w:rsid w:val="00ED0ED7"/>
    <w:rsid w:val="00ED26C2"/>
    <w:rsid w:val="00ED28E0"/>
    <w:rsid w:val="00ED6E07"/>
    <w:rsid w:val="00ED7EDF"/>
    <w:rsid w:val="00EE0DDE"/>
    <w:rsid w:val="00EE298B"/>
    <w:rsid w:val="00EE47A2"/>
    <w:rsid w:val="00EE622A"/>
    <w:rsid w:val="00EE6DB9"/>
    <w:rsid w:val="00EF21E1"/>
    <w:rsid w:val="00EF25DD"/>
    <w:rsid w:val="00EF462D"/>
    <w:rsid w:val="00EF4908"/>
    <w:rsid w:val="00EF5B96"/>
    <w:rsid w:val="00EF67C4"/>
    <w:rsid w:val="00EF6C78"/>
    <w:rsid w:val="00F00618"/>
    <w:rsid w:val="00F00669"/>
    <w:rsid w:val="00F018B7"/>
    <w:rsid w:val="00F01ED5"/>
    <w:rsid w:val="00F06C54"/>
    <w:rsid w:val="00F1028E"/>
    <w:rsid w:val="00F11047"/>
    <w:rsid w:val="00F11576"/>
    <w:rsid w:val="00F115AA"/>
    <w:rsid w:val="00F117D2"/>
    <w:rsid w:val="00F12BB1"/>
    <w:rsid w:val="00F12BCE"/>
    <w:rsid w:val="00F13D85"/>
    <w:rsid w:val="00F16B41"/>
    <w:rsid w:val="00F171ED"/>
    <w:rsid w:val="00F17700"/>
    <w:rsid w:val="00F20788"/>
    <w:rsid w:val="00F214DB"/>
    <w:rsid w:val="00F22502"/>
    <w:rsid w:val="00F22C8B"/>
    <w:rsid w:val="00F23466"/>
    <w:rsid w:val="00F2429D"/>
    <w:rsid w:val="00F24571"/>
    <w:rsid w:val="00F245C8"/>
    <w:rsid w:val="00F275D7"/>
    <w:rsid w:val="00F27B66"/>
    <w:rsid w:val="00F306A2"/>
    <w:rsid w:val="00F320EE"/>
    <w:rsid w:val="00F32CFE"/>
    <w:rsid w:val="00F33B5B"/>
    <w:rsid w:val="00F36DEA"/>
    <w:rsid w:val="00F400FA"/>
    <w:rsid w:val="00F4050E"/>
    <w:rsid w:val="00F4071A"/>
    <w:rsid w:val="00F416C6"/>
    <w:rsid w:val="00F4217C"/>
    <w:rsid w:val="00F4406F"/>
    <w:rsid w:val="00F46D61"/>
    <w:rsid w:val="00F47905"/>
    <w:rsid w:val="00F5033A"/>
    <w:rsid w:val="00F5105D"/>
    <w:rsid w:val="00F520A4"/>
    <w:rsid w:val="00F557E9"/>
    <w:rsid w:val="00F57E33"/>
    <w:rsid w:val="00F61E47"/>
    <w:rsid w:val="00F61E7A"/>
    <w:rsid w:val="00F62903"/>
    <w:rsid w:val="00F6436F"/>
    <w:rsid w:val="00F6596E"/>
    <w:rsid w:val="00F65982"/>
    <w:rsid w:val="00F6679F"/>
    <w:rsid w:val="00F67CAA"/>
    <w:rsid w:val="00F71E30"/>
    <w:rsid w:val="00F71EC0"/>
    <w:rsid w:val="00F72F47"/>
    <w:rsid w:val="00F81CAF"/>
    <w:rsid w:val="00F82346"/>
    <w:rsid w:val="00F82796"/>
    <w:rsid w:val="00F83A61"/>
    <w:rsid w:val="00F848D8"/>
    <w:rsid w:val="00F86243"/>
    <w:rsid w:val="00F8782A"/>
    <w:rsid w:val="00F87942"/>
    <w:rsid w:val="00F90904"/>
    <w:rsid w:val="00F90CCE"/>
    <w:rsid w:val="00F9162E"/>
    <w:rsid w:val="00F9236A"/>
    <w:rsid w:val="00F929D1"/>
    <w:rsid w:val="00F948AD"/>
    <w:rsid w:val="00F9748F"/>
    <w:rsid w:val="00F979A8"/>
    <w:rsid w:val="00F97E31"/>
    <w:rsid w:val="00FA028D"/>
    <w:rsid w:val="00FA078D"/>
    <w:rsid w:val="00FA1442"/>
    <w:rsid w:val="00FA1696"/>
    <w:rsid w:val="00FA1D06"/>
    <w:rsid w:val="00FA4086"/>
    <w:rsid w:val="00FA68F1"/>
    <w:rsid w:val="00FA6B98"/>
    <w:rsid w:val="00FA6CD2"/>
    <w:rsid w:val="00FB028A"/>
    <w:rsid w:val="00FB18B5"/>
    <w:rsid w:val="00FB1C7E"/>
    <w:rsid w:val="00FB3E48"/>
    <w:rsid w:val="00FB41F7"/>
    <w:rsid w:val="00FB4811"/>
    <w:rsid w:val="00FB5FD1"/>
    <w:rsid w:val="00FB6E64"/>
    <w:rsid w:val="00FC01D2"/>
    <w:rsid w:val="00FC094C"/>
    <w:rsid w:val="00FC1338"/>
    <w:rsid w:val="00FC183E"/>
    <w:rsid w:val="00FC3BAE"/>
    <w:rsid w:val="00FC4419"/>
    <w:rsid w:val="00FC4E8E"/>
    <w:rsid w:val="00FC6102"/>
    <w:rsid w:val="00FC7004"/>
    <w:rsid w:val="00FC7166"/>
    <w:rsid w:val="00FC7D26"/>
    <w:rsid w:val="00FD06B6"/>
    <w:rsid w:val="00FD0D5E"/>
    <w:rsid w:val="00FD1399"/>
    <w:rsid w:val="00FD146A"/>
    <w:rsid w:val="00FD1594"/>
    <w:rsid w:val="00FD1B57"/>
    <w:rsid w:val="00FD1DDA"/>
    <w:rsid w:val="00FD45BD"/>
    <w:rsid w:val="00FD47E8"/>
    <w:rsid w:val="00FD4B4C"/>
    <w:rsid w:val="00FD5432"/>
    <w:rsid w:val="00FD63E4"/>
    <w:rsid w:val="00FD710E"/>
    <w:rsid w:val="00FE00CB"/>
    <w:rsid w:val="00FE09E6"/>
    <w:rsid w:val="00FE24BA"/>
    <w:rsid w:val="00FE277E"/>
    <w:rsid w:val="00FE38BE"/>
    <w:rsid w:val="00FE5B99"/>
    <w:rsid w:val="00FE60DD"/>
    <w:rsid w:val="00FE63F6"/>
    <w:rsid w:val="00FE6C62"/>
    <w:rsid w:val="00FE7C89"/>
    <w:rsid w:val="00FF4296"/>
    <w:rsid w:val="00FF4DD0"/>
    <w:rsid w:val="00FF5229"/>
    <w:rsid w:val="00FF59C8"/>
    <w:rsid w:val="00FF67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4E2EF"/>
  <w15:docId w15:val="{0F37ABE2-4DF4-4957-BAA1-B8125A82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3D85"/>
  </w:style>
  <w:style w:type="paragraph" w:styleId="Titolo1">
    <w:name w:val="heading 1"/>
    <w:basedOn w:val="Normale"/>
    <w:next w:val="Normale"/>
    <w:link w:val="Titolo1Carattere"/>
    <w:uiPriority w:val="9"/>
    <w:qFormat/>
    <w:rsid w:val="0049266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2312"/>
    <w:pPr>
      <w:spacing w:after="0" w:line="240" w:lineRule="auto"/>
      <w:ind w:left="720"/>
      <w:contextualSpacing/>
    </w:pPr>
    <w:rPr>
      <w:rFonts w:ascii="Calibri" w:hAnsi="Calibri" w:cs="Calibri"/>
      <w:lang w:eastAsia="it-IT"/>
    </w:rPr>
  </w:style>
  <w:style w:type="character" w:styleId="Rimandocommento">
    <w:name w:val="annotation reference"/>
    <w:basedOn w:val="Carpredefinitoparagrafo"/>
    <w:uiPriority w:val="99"/>
    <w:semiHidden/>
    <w:unhideWhenUsed/>
    <w:rsid w:val="00B97AE8"/>
    <w:rPr>
      <w:sz w:val="16"/>
      <w:szCs w:val="16"/>
    </w:rPr>
  </w:style>
  <w:style w:type="paragraph" w:styleId="Testocommento">
    <w:name w:val="annotation text"/>
    <w:basedOn w:val="Normale"/>
    <w:link w:val="TestocommentoCarattere"/>
    <w:uiPriority w:val="99"/>
    <w:unhideWhenUsed/>
    <w:rsid w:val="00B97AE8"/>
    <w:pPr>
      <w:spacing w:line="240" w:lineRule="auto"/>
    </w:pPr>
    <w:rPr>
      <w:sz w:val="20"/>
      <w:szCs w:val="20"/>
    </w:rPr>
  </w:style>
  <w:style w:type="character" w:customStyle="1" w:styleId="TestocommentoCarattere">
    <w:name w:val="Testo commento Carattere"/>
    <w:basedOn w:val="Carpredefinitoparagrafo"/>
    <w:link w:val="Testocommento"/>
    <w:uiPriority w:val="99"/>
    <w:rsid w:val="00B97AE8"/>
    <w:rPr>
      <w:sz w:val="20"/>
      <w:szCs w:val="20"/>
    </w:rPr>
  </w:style>
  <w:style w:type="paragraph" w:styleId="Soggettocommento">
    <w:name w:val="annotation subject"/>
    <w:basedOn w:val="Testocommento"/>
    <w:next w:val="Testocommento"/>
    <w:link w:val="SoggettocommentoCarattere"/>
    <w:uiPriority w:val="99"/>
    <w:semiHidden/>
    <w:unhideWhenUsed/>
    <w:rsid w:val="00B97AE8"/>
    <w:rPr>
      <w:b/>
      <w:bCs/>
    </w:rPr>
  </w:style>
  <w:style w:type="character" w:customStyle="1" w:styleId="SoggettocommentoCarattere">
    <w:name w:val="Soggetto commento Carattere"/>
    <w:basedOn w:val="TestocommentoCarattere"/>
    <w:link w:val="Soggettocommento"/>
    <w:uiPriority w:val="99"/>
    <w:semiHidden/>
    <w:rsid w:val="00B97AE8"/>
    <w:rPr>
      <w:b/>
      <w:bCs/>
      <w:sz w:val="20"/>
      <w:szCs w:val="20"/>
    </w:rPr>
  </w:style>
  <w:style w:type="paragraph" w:styleId="Testofumetto">
    <w:name w:val="Balloon Text"/>
    <w:basedOn w:val="Normale"/>
    <w:link w:val="TestofumettoCarattere"/>
    <w:uiPriority w:val="99"/>
    <w:semiHidden/>
    <w:unhideWhenUsed/>
    <w:rsid w:val="00B97A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7AE8"/>
    <w:rPr>
      <w:rFonts w:ascii="Tahoma" w:hAnsi="Tahoma" w:cs="Tahoma"/>
      <w:sz w:val="16"/>
      <w:szCs w:val="16"/>
    </w:rPr>
  </w:style>
  <w:style w:type="paragraph" w:styleId="Revisione">
    <w:name w:val="Revision"/>
    <w:hidden/>
    <w:uiPriority w:val="99"/>
    <w:semiHidden/>
    <w:rsid w:val="00501793"/>
    <w:pPr>
      <w:spacing w:after="0" w:line="240" w:lineRule="auto"/>
    </w:pPr>
  </w:style>
  <w:style w:type="character" w:styleId="Collegamentoipertestuale">
    <w:name w:val="Hyperlink"/>
    <w:basedOn w:val="Carpredefinitoparagrafo"/>
    <w:uiPriority w:val="99"/>
    <w:unhideWhenUsed/>
    <w:rsid w:val="00E544CF"/>
    <w:rPr>
      <w:color w:val="0000FF" w:themeColor="hyperlink"/>
      <w:u w:val="single"/>
    </w:rPr>
  </w:style>
  <w:style w:type="paragraph" w:customStyle="1" w:styleId="Paragrafobase">
    <w:name w:val="[Paragrafo base]"/>
    <w:basedOn w:val="Normale"/>
    <w:uiPriority w:val="99"/>
    <w:rsid w:val="001C51E2"/>
    <w:pPr>
      <w:autoSpaceDE w:val="0"/>
      <w:autoSpaceDN w:val="0"/>
      <w:adjustRightInd w:val="0"/>
      <w:spacing w:after="0" w:line="240" w:lineRule="atLeast"/>
      <w:textAlignment w:val="center"/>
    </w:pPr>
    <w:rPr>
      <w:rFonts w:ascii="Calibri" w:hAnsi="Calibri" w:cs="Calibri"/>
      <w:color w:val="000000"/>
      <w:sz w:val="20"/>
      <w:szCs w:val="20"/>
    </w:rPr>
  </w:style>
  <w:style w:type="character" w:styleId="Enfasicorsivo">
    <w:name w:val="Emphasis"/>
    <w:basedOn w:val="Carpredefinitoparagrafo"/>
    <w:uiPriority w:val="20"/>
    <w:qFormat/>
    <w:rsid w:val="006805A5"/>
    <w:rPr>
      <w:i/>
      <w:iCs/>
    </w:rPr>
  </w:style>
  <w:style w:type="table" w:styleId="Grigliatabella">
    <w:name w:val="Table Grid"/>
    <w:basedOn w:val="Tabellanormale"/>
    <w:uiPriority w:val="39"/>
    <w:rsid w:val="00620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83539A"/>
    <w:pPr>
      <w:spacing w:after="0" w:line="36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4303BA"/>
    <w:rPr>
      <w:color w:val="800080" w:themeColor="followedHyperlink"/>
      <w:u w:val="single"/>
    </w:rPr>
  </w:style>
  <w:style w:type="character" w:styleId="Rimandonotaapidipagina">
    <w:name w:val="footnote reference"/>
    <w:uiPriority w:val="99"/>
    <w:semiHidden/>
    <w:rsid w:val="008F43E5"/>
    <w:rPr>
      <w:vertAlign w:val="superscript"/>
    </w:rPr>
  </w:style>
  <w:style w:type="paragraph" w:styleId="Testonotaapidipagina">
    <w:name w:val="footnote text"/>
    <w:basedOn w:val="Normale"/>
    <w:link w:val="TestonotaapidipaginaCarattere"/>
    <w:uiPriority w:val="99"/>
    <w:rsid w:val="008F43E5"/>
    <w:rPr>
      <w:rFonts w:eastAsiaTheme="minorEastAsia"/>
      <w:lang w:val="en-US" w:eastAsia="zh-CN"/>
    </w:rPr>
  </w:style>
  <w:style w:type="character" w:customStyle="1" w:styleId="TestonotaapidipaginaCarattere">
    <w:name w:val="Testo nota a piè di pagina Carattere"/>
    <w:basedOn w:val="Carpredefinitoparagrafo"/>
    <w:link w:val="Testonotaapidipagina"/>
    <w:uiPriority w:val="99"/>
    <w:rsid w:val="008F43E5"/>
    <w:rPr>
      <w:rFonts w:eastAsiaTheme="minorEastAsia"/>
      <w:lang w:val="en-US" w:eastAsia="zh-CN"/>
    </w:rPr>
  </w:style>
  <w:style w:type="paragraph" w:styleId="Testonormale">
    <w:name w:val="Plain Text"/>
    <w:basedOn w:val="Normale"/>
    <w:link w:val="TestonormaleCarattere"/>
    <w:uiPriority w:val="99"/>
    <w:unhideWhenUsed/>
    <w:rsid w:val="00151D12"/>
    <w:pPr>
      <w:spacing w:after="0" w:line="240" w:lineRule="auto"/>
    </w:pPr>
    <w:rPr>
      <w:rFonts w:ascii="Calibri" w:hAnsi="Calibri"/>
      <w:color w:val="1F497D" w:themeColor="text2"/>
      <w:szCs w:val="21"/>
    </w:rPr>
  </w:style>
  <w:style w:type="character" w:customStyle="1" w:styleId="TestonormaleCarattere">
    <w:name w:val="Testo normale Carattere"/>
    <w:basedOn w:val="Carpredefinitoparagrafo"/>
    <w:link w:val="Testonormale"/>
    <w:uiPriority w:val="99"/>
    <w:rsid w:val="00151D12"/>
    <w:rPr>
      <w:rFonts w:ascii="Calibri" w:hAnsi="Calibri"/>
      <w:color w:val="1F497D" w:themeColor="text2"/>
      <w:szCs w:val="21"/>
    </w:rPr>
  </w:style>
  <w:style w:type="character" w:customStyle="1" w:styleId="Titolo1Carattere">
    <w:name w:val="Titolo 1 Carattere"/>
    <w:basedOn w:val="Carpredefinitoparagrafo"/>
    <w:link w:val="Titolo1"/>
    <w:uiPriority w:val="9"/>
    <w:rsid w:val="00492663"/>
    <w:rPr>
      <w:rFonts w:asciiTheme="majorHAnsi" w:eastAsiaTheme="majorEastAsia" w:hAnsiTheme="majorHAnsi" w:cstheme="majorBidi"/>
      <w:b/>
      <w:bCs/>
      <w:color w:val="365F91" w:themeColor="accent1" w:themeShade="BF"/>
      <w:sz w:val="28"/>
      <w:szCs w:val="28"/>
      <w:lang w:val="en-US" w:eastAsia="zh-CN"/>
    </w:rPr>
  </w:style>
  <w:style w:type="paragraph" w:styleId="Intestazione">
    <w:name w:val="header"/>
    <w:basedOn w:val="Normale"/>
    <w:link w:val="IntestazioneCarattere"/>
    <w:uiPriority w:val="99"/>
    <w:unhideWhenUsed/>
    <w:rsid w:val="000F2A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2AE1"/>
  </w:style>
  <w:style w:type="paragraph" w:styleId="Pidipagina">
    <w:name w:val="footer"/>
    <w:basedOn w:val="Normale"/>
    <w:link w:val="PidipaginaCarattere"/>
    <w:uiPriority w:val="99"/>
    <w:unhideWhenUsed/>
    <w:rsid w:val="000F2A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2AE1"/>
  </w:style>
  <w:style w:type="character" w:customStyle="1" w:styleId="Menzionenonrisolta1">
    <w:name w:val="Menzione non risolta1"/>
    <w:basedOn w:val="Carpredefinitoparagrafo"/>
    <w:uiPriority w:val="99"/>
    <w:semiHidden/>
    <w:unhideWhenUsed/>
    <w:rsid w:val="009D75DE"/>
    <w:rPr>
      <w:color w:val="605E5C"/>
      <w:shd w:val="clear" w:color="auto" w:fill="E1DFDD"/>
    </w:rPr>
  </w:style>
  <w:style w:type="character" w:styleId="Enfasigrassetto">
    <w:name w:val="Strong"/>
    <w:basedOn w:val="Carpredefinitoparagrafo"/>
    <w:uiPriority w:val="22"/>
    <w:qFormat/>
    <w:rsid w:val="00C470B7"/>
    <w:rPr>
      <w:b/>
      <w:bCs/>
    </w:rPr>
  </w:style>
  <w:style w:type="character" w:customStyle="1" w:styleId="Menzionenonrisolta2">
    <w:name w:val="Menzione non risolta2"/>
    <w:basedOn w:val="Carpredefinitoparagrafo"/>
    <w:uiPriority w:val="99"/>
    <w:semiHidden/>
    <w:unhideWhenUsed/>
    <w:rsid w:val="006750E2"/>
    <w:rPr>
      <w:color w:val="605E5C"/>
      <w:shd w:val="clear" w:color="auto" w:fill="E1DFDD"/>
    </w:rPr>
  </w:style>
  <w:style w:type="character" w:customStyle="1" w:styleId="Menzionenonrisolta3">
    <w:name w:val="Menzione non risolta3"/>
    <w:basedOn w:val="Carpredefinitoparagrafo"/>
    <w:uiPriority w:val="99"/>
    <w:semiHidden/>
    <w:unhideWhenUsed/>
    <w:rsid w:val="00892826"/>
    <w:rPr>
      <w:color w:val="605E5C"/>
      <w:shd w:val="clear" w:color="auto" w:fill="E1DFDD"/>
    </w:rPr>
  </w:style>
  <w:style w:type="character" w:customStyle="1" w:styleId="Menzionenonrisolta4">
    <w:name w:val="Menzione non risolta4"/>
    <w:basedOn w:val="Carpredefinitoparagrafo"/>
    <w:uiPriority w:val="99"/>
    <w:semiHidden/>
    <w:unhideWhenUsed/>
    <w:rsid w:val="00AB07C4"/>
    <w:rPr>
      <w:color w:val="605E5C"/>
      <w:shd w:val="clear" w:color="auto" w:fill="E1DFDD"/>
    </w:rPr>
  </w:style>
  <w:style w:type="character" w:customStyle="1" w:styleId="Menzionenonrisolta5">
    <w:name w:val="Menzione non risolta5"/>
    <w:basedOn w:val="Carpredefinitoparagrafo"/>
    <w:uiPriority w:val="99"/>
    <w:semiHidden/>
    <w:unhideWhenUsed/>
    <w:rsid w:val="00007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01210">
      <w:bodyDiv w:val="1"/>
      <w:marLeft w:val="0"/>
      <w:marRight w:val="0"/>
      <w:marTop w:val="0"/>
      <w:marBottom w:val="0"/>
      <w:divBdr>
        <w:top w:val="none" w:sz="0" w:space="0" w:color="auto"/>
        <w:left w:val="none" w:sz="0" w:space="0" w:color="auto"/>
        <w:bottom w:val="none" w:sz="0" w:space="0" w:color="auto"/>
        <w:right w:val="none" w:sz="0" w:space="0" w:color="auto"/>
      </w:divBdr>
    </w:div>
    <w:div w:id="442649804">
      <w:bodyDiv w:val="1"/>
      <w:marLeft w:val="0"/>
      <w:marRight w:val="0"/>
      <w:marTop w:val="0"/>
      <w:marBottom w:val="0"/>
      <w:divBdr>
        <w:top w:val="none" w:sz="0" w:space="0" w:color="auto"/>
        <w:left w:val="none" w:sz="0" w:space="0" w:color="auto"/>
        <w:bottom w:val="none" w:sz="0" w:space="0" w:color="auto"/>
        <w:right w:val="none" w:sz="0" w:space="0" w:color="auto"/>
      </w:divBdr>
    </w:div>
    <w:div w:id="693924277">
      <w:bodyDiv w:val="1"/>
      <w:marLeft w:val="0"/>
      <w:marRight w:val="0"/>
      <w:marTop w:val="0"/>
      <w:marBottom w:val="0"/>
      <w:divBdr>
        <w:top w:val="none" w:sz="0" w:space="0" w:color="auto"/>
        <w:left w:val="none" w:sz="0" w:space="0" w:color="auto"/>
        <w:bottom w:val="none" w:sz="0" w:space="0" w:color="auto"/>
        <w:right w:val="none" w:sz="0" w:space="0" w:color="auto"/>
      </w:divBdr>
    </w:div>
    <w:div w:id="886139636">
      <w:bodyDiv w:val="1"/>
      <w:marLeft w:val="0"/>
      <w:marRight w:val="0"/>
      <w:marTop w:val="0"/>
      <w:marBottom w:val="0"/>
      <w:divBdr>
        <w:top w:val="none" w:sz="0" w:space="0" w:color="auto"/>
        <w:left w:val="none" w:sz="0" w:space="0" w:color="auto"/>
        <w:bottom w:val="none" w:sz="0" w:space="0" w:color="auto"/>
        <w:right w:val="none" w:sz="0" w:space="0" w:color="auto"/>
      </w:divBdr>
    </w:div>
    <w:div w:id="1137601618">
      <w:bodyDiv w:val="1"/>
      <w:marLeft w:val="0"/>
      <w:marRight w:val="0"/>
      <w:marTop w:val="0"/>
      <w:marBottom w:val="0"/>
      <w:divBdr>
        <w:top w:val="none" w:sz="0" w:space="0" w:color="auto"/>
        <w:left w:val="none" w:sz="0" w:space="0" w:color="auto"/>
        <w:bottom w:val="none" w:sz="0" w:space="0" w:color="auto"/>
        <w:right w:val="none" w:sz="0" w:space="0" w:color="auto"/>
      </w:divBdr>
      <w:divsChild>
        <w:div w:id="349063361">
          <w:marLeft w:val="0"/>
          <w:marRight w:val="0"/>
          <w:marTop w:val="0"/>
          <w:marBottom w:val="0"/>
          <w:divBdr>
            <w:top w:val="none" w:sz="0" w:space="0" w:color="auto"/>
            <w:left w:val="none" w:sz="0" w:space="0" w:color="auto"/>
            <w:bottom w:val="none" w:sz="0" w:space="0" w:color="auto"/>
            <w:right w:val="none" w:sz="0" w:space="0" w:color="auto"/>
          </w:divBdr>
          <w:divsChild>
            <w:div w:id="1614824016">
              <w:marLeft w:val="0"/>
              <w:marRight w:val="0"/>
              <w:marTop w:val="0"/>
              <w:marBottom w:val="0"/>
              <w:divBdr>
                <w:top w:val="none" w:sz="0" w:space="0" w:color="auto"/>
                <w:left w:val="none" w:sz="0" w:space="0" w:color="auto"/>
                <w:bottom w:val="none" w:sz="0" w:space="0" w:color="auto"/>
                <w:right w:val="none" w:sz="0" w:space="0" w:color="auto"/>
              </w:divBdr>
              <w:divsChild>
                <w:div w:id="1348629791">
                  <w:marLeft w:val="0"/>
                  <w:marRight w:val="0"/>
                  <w:marTop w:val="0"/>
                  <w:marBottom w:val="0"/>
                  <w:divBdr>
                    <w:top w:val="none" w:sz="0" w:space="0" w:color="auto"/>
                    <w:left w:val="none" w:sz="0" w:space="0" w:color="auto"/>
                    <w:bottom w:val="none" w:sz="0" w:space="0" w:color="auto"/>
                    <w:right w:val="none" w:sz="0" w:space="0" w:color="auto"/>
                  </w:divBdr>
                  <w:divsChild>
                    <w:div w:id="833763180">
                      <w:marLeft w:val="0"/>
                      <w:marRight w:val="0"/>
                      <w:marTop w:val="0"/>
                      <w:marBottom w:val="0"/>
                      <w:divBdr>
                        <w:top w:val="none" w:sz="0" w:space="0" w:color="auto"/>
                        <w:left w:val="none" w:sz="0" w:space="0" w:color="auto"/>
                        <w:bottom w:val="none" w:sz="0" w:space="0" w:color="auto"/>
                        <w:right w:val="none" w:sz="0" w:space="0" w:color="auto"/>
                      </w:divBdr>
                      <w:divsChild>
                        <w:div w:id="81920195">
                          <w:marLeft w:val="-15"/>
                          <w:marRight w:val="0"/>
                          <w:marTop w:val="0"/>
                          <w:marBottom w:val="0"/>
                          <w:divBdr>
                            <w:top w:val="none" w:sz="0" w:space="0" w:color="auto"/>
                            <w:left w:val="none" w:sz="0" w:space="0" w:color="auto"/>
                            <w:bottom w:val="none" w:sz="0" w:space="0" w:color="auto"/>
                            <w:right w:val="none" w:sz="0" w:space="0" w:color="auto"/>
                          </w:divBdr>
                          <w:divsChild>
                            <w:div w:id="2004773859">
                              <w:marLeft w:val="0"/>
                              <w:marRight w:val="0"/>
                              <w:marTop w:val="0"/>
                              <w:marBottom w:val="0"/>
                              <w:divBdr>
                                <w:top w:val="none" w:sz="0" w:space="0" w:color="auto"/>
                                <w:left w:val="none" w:sz="0" w:space="0" w:color="auto"/>
                                <w:bottom w:val="none" w:sz="0" w:space="0" w:color="auto"/>
                                <w:right w:val="none" w:sz="0" w:space="0" w:color="auto"/>
                              </w:divBdr>
                              <w:divsChild>
                                <w:div w:id="1649166738">
                                  <w:marLeft w:val="0"/>
                                  <w:marRight w:val="-15"/>
                                  <w:marTop w:val="0"/>
                                  <w:marBottom w:val="0"/>
                                  <w:divBdr>
                                    <w:top w:val="none" w:sz="0" w:space="0" w:color="auto"/>
                                    <w:left w:val="none" w:sz="0" w:space="0" w:color="auto"/>
                                    <w:bottom w:val="none" w:sz="0" w:space="0" w:color="auto"/>
                                    <w:right w:val="none" w:sz="0" w:space="0" w:color="auto"/>
                                  </w:divBdr>
                                  <w:divsChild>
                                    <w:div w:id="2064676348">
                                      <w:marLeft w:val="0"/>
                                      <w:marRight w:val="0"/>
                                      <w:marTop w:val="0"/>
                                      <w:marBottom w:val="0"/>
                                      <w:divBdr>
                                        <w:top w:val="none" w:sz="0" w:space="0" w:color="auto"/>
                                        <w:left w:val="none" w:sz="0" w:space="0" w:color="auto"/>
                                        <w:bottom w:val="none" w:sz="0" w:space="0" w:color="auto"/>
                                        <w:right w:val="none" w:sz="0" w:space="0" w:color="auto"/>
                                      </w:divBdr>
                                      <w:divsChild>
                                        <w:div w:id="1511793286">
                                          <w:marLeft w:val="0"/>
                                          <w:marRight w:val="0"/>
                                          <w:marTop w:val="0"/>
                                          <w:marBottom w:val="0"/>
                                          <w:divBdr>
                                            <w:top w:val="none" w:sz="0" w:space="0" w:color="auto"/>
                                            <w:left w:val="none" w:sz="0" w:space="0" w:color="auto"/>
                                            <w:bottom w:val="none" w:sz="0" w:space="0" w:color="auto"/>
                                            <w:right w:val="none" w:sz="0" w:space="0" w:color="auto"/>
                                          </w:divBdr>
                                          <w:divsChild>
                                            <w:div w:id="869343593">
                                              <w:marLeft w:val="0"/>
                                              <w:marRight w:val="0"/>
                                              <w:marTop w:val="0"/>
                                              <w:marBottom w:val="0"/>
                                              <w:divBdr>
                                                <w:top w:val="none" w:sz="0" w:space="0" w:color="auto"/>
                                                <w:left w:val="none" w:sz="0" w:space="0" w:color="auto"/>
                                                <w:bottom w:val="none" w:sz="0" w:space="0" w:color="auto"/>
                                                <w:right w:val="none" w:sz="0" w:space="0" w:color="auto"/>
                                              </w:divBdr>
                                              <w:divsChild>
                                                <w:div w:id="1723747268">
                                                  <w:marLeft w:val="0"/>
                                                  <w:marRight w:val="0"/>
                                                  <w:marTop w:val="0"/>
                                                  <w:marBottom w:val="0"/>
                                                  <w:divBdr>
                                                    <w:top w:val="none" w:sz="0" w:space="0" w:color="auto"/>
                                                    <w:left w:val="none" w:sz="0" w:space="0" w:color="auto"/>
                                                    <w:bottom w:val="none" w:sz="0" w:space="0" w:color="auto"/>
                                                    <w:right w:val="none" w:sz="0" w:space="0" w:color="auto"/>
                                                  </w:divBdr>
                                                  <w:divsChild>
                                                    <w:div w:id="942802166">
                                                      <w:marLeft w:val="0"/>
                                                      <w:marRight w:val="0"/>
                                                      <w:marTop w:val="0"/>
                                                      <w:marBottom w:val="0"/>
                                                      <w:divBdr>
                                                        <w:top w:val="none" w:sz="0" w:space="0" w:color="auto"/>
                                                        <w:left w:val="none" w:sz="0" w:space="0" w:color="auto"/>
                                                        <w:bottom w:val="none" w:sz="0" w:space="0" w:color="auto"/>
                                                        <w:right w:val="none" w:sz="0" w:space="0" w:color="auto"/>
                                                      </w:divBdr>
                                                      <w:divsChild>
                                                        <w:div w:id="1791433988">
                                                          <w:marLeft w:val="0"/>
                                                          <w:marRight w:val="0"/>
                                                          <w:marTop w:val="0"/>
                                                          <w:marBottom w:val="0"/>
                                                          <w:divBdr>
                                                            <w:top w:val="none" w:sz="0" w:space="0" w:color="auto"/>
                                                            <w:left w:val="none" w:sz="0" w:space="0" w:color="auto"/>
                                                            <w:bottom w:val="none" w:sz="0" w:space="0" w:color="auto"/>
                                                            <w:right w:val="none" w:sz="0" w:space="0" w:color="auto"/>
                                                          </w:divBdr>
                                                          <w:divsChild>
                                                            <w:div w:id="859389749">
                                                              <w:marLeft w:val="0"/>
                                                              <w:marRight w:val="0"/>
                                                              <w:marTop w:val="0"/>
                                                              <w:marBottom w:val="0"/>
                                                              <w:divBdr>
                                                                <w:top w:val="none" w:sz="0" w:space="0" w:color="auto"/>
                                                                <w:left w:val="none" w:sz="0" w:space="0" w:color="auto"/>
                                                                <w:bottom w:val="none" w:sz="0" w:space="0" w:color="auto"/>
                                                                <w:right w:val="none" w:sz="0" w:space="0" w:color="auto"/>
                                                              </w:divBdr>
                                                              <w:divsChild>
                                                                <w:div w:id="606234189">
                                                                  <w:marLeft w:val="-270"/>
                                                                  <w:marRight w:val="0"/>
                                                                  <w:marTop w:val="0"/>
                                                                  <w:marBottom w:val="0"/>
                                                                  <w:divBdr>
                                                                    <w:top w:val="none" w:sz="0" w:space="0" w:color="auto"/>
                                                                    <w:left w:val="none" w:sz="0" w:space="0" w:color="auto"/>
                                                                    <w:bottom w:val="none" w:sz="0" w:space="0" w:color="auto"/>
                                                                    <w:right w:val="none" w:sz="0" w:space="0" w:color="auto"/>
                                                                  </w:divBdr>
                                                                  <w:divsChild>
                                                                    <w:div w:id="67700264">
                                                                      <w:marLeft w:val="0"/>
                                                                      <w:marRight w:val="0"/>
                                                                      <w:marTop w:val="0"/>
                                                                      <w:marBottom w:val="0"/>
                                                                      <w:divBdr>
                                                                        <w:top w:val="single" w:sz="6" w:space="0" w:color="E5E6E9"/>
                                                                        <w:left w:val="single" w:sz="6" w:space="0" w:color="DFE0E4"/>
                                                                        <w:bottom w:val="single" w:sz="6" w:space="0" w:color="D0D1D5"/>
                                                                        <w:right w:val="single" w:sz="6" w:space="0" w:color="DFE0E4"/>
                                                                      </w:divBdr>
                                                                      <w:divsChild>
                                                                        <w:div w:id="1544099575">
                                                                          <w:marLeft w:val="0"/>
                                                                          <w:marRight w:val="0"/>
                                                                          <w:marTop w:val="0"/>
                                                                          <w:marBottom w:val="0"/>
                                                                          <w:divBdr>
                                                                            <w:top w:val="none" w:sz="0" w:space="0" w:color="auto"/>
                                                                            <w:left w:val="none" w:sz="0" w:space="0" w:color="auto"/>
                                                                            <w:bottom w:val="none" w:sz="0" w:space="0" w:color="auto"/>
                                                                            <w:right w:val="none" w:sz="0" w:space="0" w:color="auto"/>
                                                                          </w:divBdr>
                                                                          <w:divsChild>
                                                                            <w:div w:id="67074452">
                                                                              <w:marLeft w:val="0"/>
                                                                              <w:marRight w:val="0"/>
                                                                              <w:marTop w:val="0"/>
                                                                              <w:marBottom w:val="0"/>
                                                                              <w:divBdr>
                                                                                <w:top w:val="none" w:sz="0" w:space="0" w:color="auto"/>
                                                                                <w:left w:val="none" w:sz="0" w:space="0" w:color="auto"/>
                                                                                <w:bottom w:val="none" w:sz="0" w:space="0" w:color="auto"/>
                                                                                <w:right w:val="none" w:sz="0" w:space="0" w:color="auto"/>
                                                                              </w:divBdr>
                                                                              <w:divsChild>
                                                                                <w:div w:id="645008722">
                                                                                  <w:marLeft w:val="0"/>
                                                                                  <w:marRight w:val="0"/>
                                                                                  <w:marTop w:val="0"/>
                                                                                  <w:marBottom w:val="0"/>
                                                                                  <w:divBdr>
                                                                                    <w:top w:val="none" w:sz="0" w:space="0" w:color="auto"/>
                                                                                    <w:left w:val="none" w:sz="0" w:space="0" w:color="auto"/>
                                                                                    <w:bottom w:val="none" w:sz="0" w:space="0" w:color="auto"/>
                                                                                    <w:right w:val="none" w:sz="0" w:space="0" w:color="auto"/>
                                                                                  </w:divBdr>
                                                                                  <w:divsChild>
                                                                                    <w:div w:id="8138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822504">
      <w:bodyDiv w:val="1"/>
      <w:marLeft w:val="0"/>
      <w:marRight w:val="0"/>
      <w:marTop w:val="0"/>
      <w:marBottom w:val="0"/>
      <w:divBdr>
        <w:top w:val="none" w:sz="0" w:space="0" w:color="auto"/>
        <w:left w:val="none" w:sz="0" w:space="0" w:color="auto"/>
        <w:bottom w:val="none" w:sz="0" w:space="0" w:color="auto"/>
        <w:right w:val="none" w:sz="0" w:space="0" w:color="auto"/>
      </w:divBdr>
    </w:div>
    <w:div w:id="1560285340">
      <w:bodyDiv w:val="1"/>
      <w:marLeft w:val="0"/>
      <w:marRight w:val="0"/>
      <w:marTop w:val="0"/>
      <w:marBottom w:val="0"/>
      <w:divBdr>
        <w:top w:val="none" w:sz="0" w:space="0" w:color="auto"/>
        <w:left w:val="none" w:sz="0" w:space="0" w:color="auto"/>
        <w:bottom w:val="none" w:sz="0" w:space="0" w:color="auto"/>
        <w:right w:val="none" w:sz="0" w:space="0" w:color="auto"/>
      </w:divBdr>
    </w:div>
    <w:div w:id="1678313873">
      <w:bodyDiv w:val="1"/>
      <w:marLeft w:val="0"/>
      <w:marRight w:val="0"/>
      <w:marTop w:val="0"/>
      <w:marBottom w:val="0"/>
      <w:divBdr>
        <w:top w:val="none" w:sz="0" w:space="0" w:color="auto"/>
        <w:left w:val="none" w:sz="0" w:space="0" w:color="auto"/>
        <w:bottom w:val="none" w:sz="0" w:space="0" w:color="auto"/>
        <w:right w:val="none" w:sz="0" w:space="0" w:color="auto"/>
      </w:divBdr>
    </w:div>
    <w:div w:id="1938322749">
      <w:bodyDiv w:val="1"/>
      <w:marLeft w:val="0"/>
      <w:marRight w:val="0"/>
      <w:marTop w:val="0"/>
      <w:marBottom w:val="0"/>
      <w:divBdr>
        <w:top w:val="none" w:sz="0" w:space="0" w:color="auto"/>
        <w:left w:val="none" w:sz="0" w:space="0" w:color="auto"/>
        <w:bottom w:val="none" w:sz="0" w:space="0" w:color="auto"/>
        <w:right w:val="none" w:sz="0" w:space="0" w:color="auto"/>
      </w:divBdr>
    </w:div>
    <w:div w:id="1986278593">
      <w:bodyDiv w:val="1"/>
      <w:marLeft w:val="0"/>
      <w:marRight w:val="0"/>
      <w:marTop w:val="0"/>
      <w:marBottom w:val="0"/>
      <w:divBdr>
        <w:top w:val="none" w:sz="0" w:space="0" w:color="auto"/>
        <w:left w:val="none" w:sz="0" w:space="0" w:color="auto"/>
        <w:bottom w:val="none" w:sz="0" w:space="0" w:color="auto"/>
        <w:right w:val="none" w:sz="0" w:space="0" w:color="auto"/>
      </w:divBdr>
    </w:div>
    <w:div w:id="2134054401">
      <w:bodyDiv w:val="1"/>
      <w:marLeft w:val="0"/>
      <w:marRight w:val="0"/>
      <w:marTop w:val="0"/>
      <w:marBottom w:val="0"/>
      <w:divBdr>
        <w:top w:val="none" w:sz="0" w:space="0" w:color="auto"/>
        <w:left w:val="none" w:sz="0" w:space="0" w:color="auto"/>
        <w:bottom w:val="none" w:sz="0" w:space="0" w:color="auto"/>
        <w:right w:val="none" w:sz="0" w:space="0" w:color="auto"/>
      </w:divBdr>
      <w:divsChild>
        <w:div w:id="1230388191">
          <w:marLeft w:val="0"/>
          <w:marRight w:val="0"/>
          <w:marTop w:val="0"/>
          <w:marBottom w:val="0"/>
          <w:divBdr>
            <w:top w:val="none" w:sz="0" w:space="0" w:color="auto"/>
            <w:left w:val="none" w:sz="0" w:space="0" w:color="auto"/>
            <w:bottom w:val="none" w:sz="0" w:space="0" w:color="auto"/>
            <w:right w:val="none" w:sz="0" w:space="0" w:color="auto"/>
          </w:divBdr>
          <w:divsChild>
            <w:div w:id="1641307635">
              <w:marLeft w:val="0"/>
              <w:marRight w:val="0"/>
              <w:marTop w:val="0"/>
              <w:marBottom w:val="0"/>
              <w:divBdr>
                <w:top w:val="none" w:sz="0" w:space="0" w:color="auto"/>
                <w:left w:val="none" w:sz="0" w:space="0" w:color="auto"/>
                <w:bottom w:val="none" w:sz="0" w:space="0" w:color="auto"/>
                <w:right w:val="none" w:sz="0" w:space="0" w:color="auto"/>
              </w:divBdr>
              <w:divsChild>
                <w:div w:id="1517813869">
                  <w:marLeft w:val="0"/>
                  <w:marRight w:val="0"/>
                  <w:marTop w:val="0"/>
                  <w:marBottom w:val="300"/>
                  <w:divBdr>
                    <w:top w:val="none" w:sz="0" w:space="0" w:color="auto"/>
                    <w:left w:val="none" w:sz="0" w:space="0" w:color="auto"/>
                    <w:bottom w:val="none" w:sz="0" w:space="0" w:color="auto"/>
                    <w:right w:val="none" w:sz="0" w:space="0" w:color="auto"/>
                  </w:divBdr>
                  <w:divsChild>
                    <w:div w:id="1551378754">
                      <w:marLeft w:val="0"/>
                      <w:marRight w:val="0"/>
                      <w:marTop w:val="0"/>
                      <w:marBottom w:val="0"/>
                      <w:divBdr>
                        <w:top w:val="none" w:sz="0" w:space="0" w:color="auto"/>
                        <w:left w:val="none" w:sz="0" w:space="0" w:color="auto"/>
                        <w:bottom w:val="none" w:sz="0" w:space="0" w:color="auto"/>
                        <w:right w:val="none" w:sz="0" w:space="0" w:color="auto"/>
                      </w:divBdr>
                      <w:divsChild>
                        <w:div w:id="1333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heeuropee.gov.it/it/ministro/comunicati-stampa/27-lug-23-pn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fficio.stampa@gimbe.org" TargetMode="External"/><Relationship Id="rId4" Type="http://schemas.openxmlformats.org/officeDocument/2006/relationships/settings" Target="settings.xml"/><Relationship Id="rId9" Type="http://schemas.openxmlformats.org/officeDocument/2006/relationships/hyperlink" Target="https://commission.europa.eu/system/files/2023-11/COM_2023_765_1_EN_annexe_proposition_cp_part1_v3.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90A94-FEF2-45D1-ACDF-B92CDFB6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6568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Nino</dc:creator>
  <cp:lastModifiedBy>Roberto Luceri</cp:lastModifiedBy>
  <cp:revision>5</cp:revision>
  <cp:lastPrinted>2014-01-27T14:53:00Z</cp:lastPrinted>
  <dcterms:created xsi:type="dcterms:W3CDTF">2023-11-29T15:28:00Z</dcterms:created>
  <dcterms:modified xsi:type="dcterms:W3CDTF">2024-01-30T09:16:00Z</dcterms:modified>
</cp:coreProperties>
</file>